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8234A" w14:textId="2A7CDE88" w:rsidR="00DE6200" w:rsidRPr="00556373" w:rsidRDefault="000414E1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414E1">
        <w:rPr>
          <w:b/>
          <w:noProof/>
          <w:sz w:val="24"/>
          <w:szCs w:val="24"/>
          <w:lang w:val="sv-SE"/>
        </w:rPr>
        <w:t>3GPP TSG-RAN WG2 Meeting #11</w:t>
      </w:r>
      <w:r w:rsidR="00975DDF">
        <w:rPr>
          <w:rFonts w:hint="eastAsia"/>
          <w:b/>
          <w:noProof/>
          <w:sz w:val="24"/>
          <w:szCs w:val="24"/>
          <w:lang w:val="sv-SE" w:eastAsia="zh-TW"/>
        </w:rPr>
        <w:t>9</w:t>
      </w:r>
      <w:r w:rsidRPr="000414E1">
        <w:rPr>
          <w:b/>
          <w:noProof/>
          <w:sz w:val="24"/>
          <w:szCs w:val="24"/>
          <w:lang w:val="sv-SE"/>
        </w:rPr>
        <w:t xml:space="preserve"> electronic</w:t>
      </w:r>
      <w:r w:rsidR="00DE6200" w:rsidRPr="00556373">
        <w:rPr>
          <w:b/>
          <w:i/>
          <w:sz w:val="28"/>
          <w:lang w:eastAsia="zh-TW"/>
        </w:rPr>
        <w:tab/>
      </w:r>
      <w:r w:rsidR="00050F38">
        <w:rPr>
          <w:rFonts w:cs="Arial"/>
          <w:b/>
          <w:i/>
          <w:sz w:val="28"/>
          <w:lang w:eastAsia="zh-TW"/>
        </w:rPr>
        <w:t>R2-2208368</w:t>
      </w:r>
      <w:bookmarkStart w:id="0" w:name="_GoBack"/>
      <w:bookmarkEnd w:id="0"/>
    </w:p>
    <w:p w14:paraId="2A5E8CC0" w14:textId="164A00EE" w:rsidR="000727EB" w:rsidRDefault="000414E1" w:rsidP="000727EB">
      <w:pPr>
        <w:pStyle w:val="CRCoverPage"/>
        <w:spacing w:after="0"/>
        <w:rPr>
          <w:b/>
          <w:noProof/>
          <w:sz w:val="24"/>
          <w:lang w:eastAsia="zh-TW"/>
        </w:rPr>
      </w:pPr>
      <w:r w:rsidRPr="000414E1">
        <w:rPr>
          <w:b/>
          <w:noProof/>
          <w:sz w:val="24"/>
          <w:lang w:eastAsia="zh-TW"/>
        </w:rPr>
        <w:t xml:space="preserve">Online, </w:t>
      </w:r>
      <w:r w:rsidR="00377D49">
        <w:rPr>
          <w:b/>
          <w:noProof/>
          <w:sz w:val="24"/>
          <w:lang w:eastAsia="zh-TW"/>
        </w:rPr>
        <w:t>Aug 17-</w:t>
      </w:r>
      <w:r w:rsidR="00F32D1F">
        <w:rPr>
          <w:b/>
          <w:noProof/>
          <w:sz w:val="24"/>
          <w:lang w:eastAsia="zh-TW"/>
        </w:rPr>
        <w:t>29</w:t>
      </w:r>
      <w:r w:rsidRPr="000414E1">
        <w:rPr>
          <w:b/>
          <w:noProof/>
          <w:sz w:val="24"/>
          <w:lang w:eastAsia="zh-TW"/>
        </w:rPr>
        <w:t>, 2022</w:t>
      </w:r>
    </w:p>
    <w:p w14:paraId="084A6471" w14:textId="3FE093DF" w:rsidR="00DE6200" w:rsidRPr="00620B46" w:rsidRDefault="00DE6200" w:rsidP="002D334D">
      <w:pPr>
        <w:pStyle w:val="CRCoverPage"/>
        <w:spacing w:after="0"/>
      </w:pPr>
    </w:p>
    <w:p w14:paraId="28FBF4FE" w14:textId="504C460C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620B46">
        <w:rPr>
          <w:rFonts w:ascii="Arial" w:hAnsi="Arial" w:cs="Arial"/>
          <w:sz w:val="22"/>
          <w:szCs w:val="22"/>
          <w:lang w:eastAsia="zh-TW"/>
        </w:rPr>
        <w:t>Agenda Item:</w:t>
      </w:r>
      <w:r w:rsidRPr="00620B46">
        <w:rPr>
          <w:rFonts w:ascii="Arial" w:hAnsi="Arial" w:cs="Arial"/>
          <w:sz w:val="22"/>
          <w:szCs w:val="22"/>
          <w:lang w:eastAsia="zh-TW"/>
        </w:rPr>
        <w:tab/>
      </w:r>
      <w:r w:rsidR="00CA454C">
        <w:rPr>
          <w:rFonts w:ascii="Arial" w:hAnsi="Arial" w:cs="Arial"/>
          <w:sz w:val="22"/>
          <w:szCs w:val="22"/>
          <w:lang w:eastAsia="zh-TW"/>
        </w:rPr>
        <w:t>8.4.2.</w:t>
      </w:r>
      <w:r w:rsidR="00A27E63">
        <w:rPr>
          <w:rFonts w:ascii="Arial" w:hAnsi="Arial" w:cs="Arial"/>
          <w:sz w:val="22"/>
          <w:szCs w:val="22"/>
          <w:lang w:eastAsia="zh-TW"/>
        </w:rPr>
        <w:t>2</w:t>
      </w:r>
    </w:p>
    <w:p w14:paraId="64F27D5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3DA26D69" w:rsidR="00DE6200" w:rsidRPr="00CB7CD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color w:val="FF0000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CB7CD3">
        <w:rPr>
          <w:rFonts w:ascii="Arial" w:hAnsi="Arial" w:cs="Arial"/>
          <w:sz w:val="22"/>
          <w:szCs w:val="22"/>
          <w:lang w:eastAsia="zh-TW"/>
        </w:rPr>
        <w:tab/>
      </w:r>
      <w:r w:rsidR="001C30EC">
        <w:rPr>
          <w:rFonts w:ascii="Arial" w:hAnsi="Arial" w:cs="Arial"/>
          <w:sz w:val="22"/>
          <w:szCs w:val="22"/>
          <w:lang w:eastAsia="zh-TW"/>
        </w:rPr>
        <w:t>Discussion on</w:t>
      </w:r>
      <w:r w:rsidR="008A20E6">
        <w:rPr>
          <w:rFonts w:ascii="Arial" w:hAnsi="Arial" w:cs="Arial"/>
          <w:sz w:val="22"/>
          <w:szCs w:val="22"/>
          <w:lang w:eastAsia="zh-TW"/>
        </w:rPr>
        <w:t xml:space="preserve"> </w:t>
      </w:r>
      <w:r w:rsidR="00CA454C">
        <w:rPr>
          <w:rFonts w:ascii="Arial" w:hAnsi="Arial" w:cs="Arial"/>
          <w:sz w:val="22"/>
          <w:szCs w:val="22"/>
          <w:lang w:eastAsia="zh-TW"/>
        </w:rPr>
        <w:t xml:space="preserve">L1 L2 mobility </w:t>
      </w:r>
      <w:r w:rsidR="00200F52">
        <w:rPr>
          <w:rFonts w:ascii="Arial" w:hAnsi="Arial" w:cs="Arial" w:hint="eastAsia"/>
          <w:sz w:val="22"/>
          <w:szCs w:val="22"/>
          <w:lang w:eastAsia="zh-TW"/>
        </w:rPr>
        <w:t>p</w:t>
      </w:r>
      <w:r w:rsidR="00200F52">
        <w:rPr>
          <w:rFonts w:ascii="Arial" w:hAnsi="Arial" w:cs="Arial"/>
          <w:sz w:val="22"/>
          <w:szCs w:val="22"/>
          <w:lang w:eastAsia="zh-TW"/>
        </w:rPr>
        <w:t>rocedure</w:t>
      </w:r>
    </w:p>
    <w:p w14:paraId="7D5B181D" w14:textId="77777777" w:rsidR="00DE6200" w:rsidRPr="00CB7CD3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CB7CD3">
        <w:rPr>
          <w:rFonts w:ascii="Arial" w:hAnsi="Arial" w:cs="Arial"/>
          <w:sz w:val="22"/>
          <w:szCs w:val="22"/>
          <w:lang w:eastAsia="zh-TW"/>
        </w:rPr>
        <w:t>Document for:</w:t>
      </w:r>
      <w:r w:rsidRPr="00CB7CD3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CB7CD3" w:rsidRDefault="00DE6200" w:rsidP="00DE6200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CB7CD3">
        <w:rPr>
          <w:rFonts w:cs="Arial"/>
          <w:smallCaps/>
          <w:sz w:val="32"/>
          <w:szCs w:val="32"/>
        </w:rPr>
        <w:t>Introduction</w:t>
      </w:r>
    </w:p>
    <w:p w14:paraId="209B7DC6" w14:textId="30125865" w:rsidR="00CA454C" w:rsidRDefault="00CA454C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</w:t>
      </w:r>
      <w:r>
        <w:rPr>
          <w:rFonts w:ascii="Times New Roman" w:hAnsi="Times New Roman" w:cs="Times New Roman"/>
          <w:sz w:val="22"/>
        </w:rPr>
        <w:t>n WID</w:t>
      </w:r>
      <w:r w:rsidR="000D42FC">
        <w:rPr>
          <w:rFonts w:ascii="Times New Roman" w:hAnsi="Times New Roman" w:cs="Times New Roman"/>
          <w:sz w:val="22"/>
        </w:rPr>
        <w:t xml:space="preserve"> on Further NR mobility enhancements </w:t>
      </w:r>
      <w:r w:rsidR="00B20D24">
        <w:rPr>
          <w:rFonts w:ascii="Times New Roman" w:hAnsi="Times New Roman" w:cs="Times New Roman"/>
          <w:sz w:val="22"/>
        </w:rPr>
        <w:t>[</w:t>
      </w:r>
      <w:r w:rsidR="00D07123">
        <w:rPr>
          <w:rFonts w:ascii="Times New Roman" w:hAnsi="Times New Roman" w:cs="Times New Roman"/>
          <w:sz w:val="22"/>
        </w:rPr>
        <w:t>1</w:t>
      </w:r>
      <w:r w:rsidR="00B20D24">
        <w:rPr>
          <w:rFonts w:ascii="Times New Roman" w:hAnsi="Times New Roman" w:cs="Times New Roman"/>
          <w:sz w:val="22"/>
        </w:rPr>
        <w:t>]</w:t>
      </w:r>
      <w:r w:rsidR="000D42FC">
        <w:rPr>
          <w:rFonts w:ascii="Times New Roman" w:hAnsi="Times New Roman" w:cs="Times New Roman"/>
          <w:sz w:val="22"/>
        </w:rPr>
        <w:t xml:space="preserve">, </w:t>
      </w:r>
      <w:r w:rsidR="00E61E7D">
        <w:rPr>
          <w:rFonts w:ascii="Times New Roman" w:hAnsi="Times New Roman" w:cs="Times New Roman"/>
          <w:sz w:val="22"/>
        </w:rPr>
        <w:t xml:space="preserve">specification on </w:t>
      </w:r>
      <w:r w:rsidR="002C11C3">
        <w:rPr>
          <w:rFonts w:ascii="Times New Roman" w:hAnsi="Times New Roman" w:cs="Times New Roman"/>
          <w:sz w:val="22"/>
        </w:rPr>
        <w:t>L1 L2</w:t>
      </w:r>
      <w:r w:rsidR="00E61E7D">
        <w:rPr>
          <w:rFonts w:ascii="Times New Roman" w:hAnsi="Times New Roman" w:cs="Times New Roman"/>
          <w:sz w:val="22"/>
        </w:rPr>
        <w:t xml:space="preserve"> based inter-cell mobility is added as an objective to achieve mobility latency reduction. </w:t>
      </w:r>
    </w:p>
    <w:p w14:paraId="130F5BC1" w14:textId="07BC7080" w:rsidR="009D6264" w:rsidRDefault="009D6264" w:rsidP="00FC5609">
      <w:pPr>
        <w:spacing w:before="240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In this contribution</w:t>
      </w:r>
      <w:r w:rsidR="00482A74">
        <w:rPr>
          <w:rFonts w:ascii="Times New Roman" w:hAnsi="Times New Roman" w:cs="Times New Roman"/>
          <w:sz w:val="22"/>
        </w:rPr>
        <w:t xml:space="preserve">, we </w:t>
      </w:r>
      <w:r w:rsidR="00C945DF">
        <w:rPr>
          <w:rFonts w:ascii="Times New Roman" w:hAnsi="Times New Roman" w:cs="Times New Roman"/>
          <w:sz w:val="22"/>
        </w:rPr>
        <w:t>discuss</w:t>
      </w:r>
      <w:r w:rsidR="00DF4FF4">
        <w:rPr>
          <w:rFonts w:ascii="Times New Roman" w:hAnsi="Times New Roman" w:cs="Times New Roman"/>
          <w:sz w:val="22"/>
        </w:rPr>
        <w:t xml:space="preserve"> possible </w:t>
      </w:r>
      <w:r w:rsidR="00A27E63">
        <w:rPr>
          <w:rFonts w:ascii="Times New Roman" w:hAnsi="Times New Roman" w:cs="Times New Roman"/>
          <w:sz w:val="22"/>
        </w:rPr>
        <w:t>solutions</w:t>
      </w:r>
      <w:r w:rsidR="000D42FC">
        <w:rPr>
          <w:rFonts w:ascii="Times New Roman" w:hAnsi="Times New Roman" w:cs="Times New Roman"/>
          <w:sz w:val="22"/>
        </w:rPr>
        <w:t xml:space="preserve"> </w:t>
      </w:r>
      <w:r w:rsidR="00A27E63">
        <w:rPr>
          <w:rFonts w:ascii="Times New Roman" w:hAnsi="Times New Roman" w:cs="Times New Roman"/>
          <w:sz w:val="22"/>
        </w:rPr>
        <w:t>for</w:t>
      </w:r>
      <w:r w:rsidR="000D42FC">
        <w:rPr>
          <w:rFonts w:ascii="Times New Roman" w:hAnsi="Times New Roman" w:cs="Times New Roman"/>
          <w:sz w:val="22"/>
        </w:rPr>
        <w:t xml:space="preserve"> L1 L2 mobility </w:t>
      </w:r>
      <w:r w:rsidR="00A27E63">
        <w:rPr>
          <w:rFonts w:ascii="Times New Roman" w:hAnsi="Times New Roman" w:cs="Times New Roman"/>
          <w:sz w:val="22"/>
        </w:rPr>
        <w:t xml:space="preserve">procedure </w:t>
      </w:r>
      <w:r w:rsidR="00D07123">
        <w:rPr>
          <w:rFonts w:ascii="Times New Roman" w:hAnsi="Times New Roman" w:cs="Times New Roman"/>
          <w:sz w:val="22"/>
        </w:rPr>
        <w:t>in order to improve performance of mobility procedures</w:t>
      </w:r>
      <w:r w:rsidR="00C945DF">
        <w:rPr>
          <w:rFonts w:ascii="Times New Roman" w:hAnsi="Times New Roman" w:cs="Times New Roman"/>
          <w:sz w:val="22"/>
        </w:rPr>
        <w:t>.</w:t>
      </w:r>
    </w:p>
    <w:p w14:paraId="4F3FA54C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Discussion</w:t>
      </w:r>
    </w:p>
    <w:p w14:paraId="0D6A8718" w14:textId="566FEB52" w:rsidR="00A96BC5" w:rsidRDefault="008F1FC5" w:rsidP="00D04B41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Baseline model for </w:t>
      </w:r>
      <w:r w:rsidR="002C11C3">
        <w:rPr>
          <w:rFonts w:ascii="Times New Roman" w:hAnsi="Times New Roman" w:cs="Times New Roman"/>
          <w:b/>
          <w:sz w:val="22"/>
          <w:u w:val="single"/>
          <w:lang w:val="en-GB"/>
        </w:rPr>
        <w:t>L1 L2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 mobility</w:t>
      </w:r>
    </w:p>
    <w:p w14:paraId="69B3BE80" w14:textId="1EA397AF" w:rsidR="0065126E" w:rsidRDefault="00A27E63" w:rsidP="0065126E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Rel-17</w:t>
      </w:r>
      <w:r w:rsidR="000A498C">
        <w:rPr>
          <w:rFonts w:ascii="Times New Roman" w:hAnsi="Times New Roman" w:cs="Times New Roman"/>
          <w:sz w:val="22"/>
          <w:lang w:val="en-GB"/>
        </w:rPr>
        <w:t xml:space="preserve"> feMIMO work item</w:t>
      </w:r>
      <w:r w:rsidR="00377D49">
        <w:rPr>
          <w:rFonts w:ascii="Times New Roman" w:hAnsi="Times New Roman" w:cs="Times New Roman"/>
          <w:sz w:val="22"/>
          <w:lang w:val="en-GB"/>
        </w:rPr>
        <w:t xml:space="preserve"> discussing</w:t>
      </w:r>
      <w:r w:rsidR="00A27C5B">
        <w:rPr>
          <w:rFonts w:ascii="Times New Roman" w:hAnsi="Times New Roman" w:cs="Times New Roman"/>
          <w:sz w:val="22"/>
          <w:lang w:val="en-GB"/>
        </w:rPr>
        <w:t xml:space="preserve"> serving cell change scenarios </w:t>
      </w:r>
      <w:r w:rsidR="00220993">
        <w:rPr>
          <w:rFonts w:ascii="Times New Roman" w:hAnsi="Times New Roman" w:cs="Times New Roman"/>
          <w:sz w:val="22"/>
          <w:lang w:val="en-GB"/>
        </w:rPr>
        <w:t>for</w:t>
      </w:r>
      <w:r w:rsidR="00377D49">
        <w:rPr>
          <w:rFonts w:ascii="Times New Roman" w:hAnsi="Times New Roman" w:cs="Times New Roman"/>
          <w:sz w:val="22"/>
          <w:lang w:val="en-GB"/>
        </w:rPr>
        <w:t xml:space="preserve"> </w:t>
      </w:r>
      <w:r w:rsidR="00A27C5B">
        <w:rPr>
          <w:rFonts w:ascii="Times New Roman" w:hAnsi="Times New Roman" w:cs="Times New Roman"/>
          <w:sz w:val="22"/>
          <w:lang w:val="en-GB"/>
        </w:rPr>
        <w:t xml:space="preserve">inter-Cell </w:t>
      </w:r>
      <w:r w:rsidR="00377D49">
        <w:rPr>
          <w:rFonts w:ascii="Times New Roman" w:hAnsi="Times New Roman" w:cs="Times New Roman"/>
          <w:sz w:val="22"/>
          <w:lang w:val="en-GB"/>
        </w:rPr>
        <w:t>multi-TRP operations</w:t>
      </w:r>
      <w:r>
        <w:rPr>
          <w:rFonts w:ascii="Times New Roman" w:hAnsi="Times New Roman" w:cs="Times New Roman"/>
          <w:sz w:val="22"/>
          <w:lang w:val="en-GB"/>
        </w:rPr>
        <w:t xml:space="preserve">, </w:t>
      </w:r>
      <w:r w:rsidR="002C11C3">
        <w:rPr>
          <w:rFonts w:ascii="Times New Roman" w:hAnsi="Times New Roman" w:cs="Times New Roman"/>
          <w:sz w:val="22"/>
          <w:lang w:val="en-GB"/>
        </w:rPr>
        <w:t>L1 L2</w:t>
      </w:r>
      <w:r>
        <w:rPr>
          <w:rFonts w:ascii="Times New Roman" w:hAnsi="Times New Roman" w:cs="Times New Roman"/>
          <w:sz w:val="22"/>
          <w:lang w:val="en-GB"/>
        </w:rPr>
        <w:t xml:space="preserve"> mobility</w:t>
      </w:r>
      <w:r w:rsidR="000A498C">
        <w:rPr>
          <w:rFonts w:ascii="Times New Roman" w:hAnsi="Times New Roman" w:cs="Times New Roman"/>
          <w:sz w:val="22"/>
          <w:lang w:val="en-GB"/>
        </w:rPr>
        <w:t xml:space="preserve"> model</w:t>
      </w:r>
      <w:r>
        <w:rPr>
          <w:rFonts w:ascii="Times New Roman" w:hAnsi="Times New Roman" w:cs="Times New Roman"/>
          <w:sz w:val="22"/>
          <w:lang w:val="en-GB"/>
        </w:rPr>
        <w:t xml:space="preserve"> was discuss and </w:t>
      </w:r>
      <w:r w:rsidR="000A498C">
        <w:rPr>
          <w:rFonts w:ascii="Times New Roman" w:hAnsi="Times New Roman" w:cs="Times New Roman"/>
          <w:sz w:val="22"/>
          <w:lang w:val="en-GB"/>
        </w:rPr>
        <w:t xml:space="preserve">base line </w:t>
      </w:r>
      <w:r>
        <w:rPr>
          <w:rFonts w:ascii="Times New Roman" w:hAnsi="Times New Roman" w:cs="Times New Roman"/>
          <w:sz w:val="22"/>
          <w:lang w:val="en-GB"/>
        </w:rPr>
        <w:t>agreement</w:t>
      </w:r>
      <w:r w:rsidR="000A498C">
        <w:rPr>
          <w:rFonts w:ascii="Times New Roman" w:hAnsi="Times New Roman" w:cs="Times New Roman"/>
          <w:sz w:val="22"/>
          <w:lang w:val="en-GB"/>
        </w:rPr>
        <w:t>s</w:t>
      </w:r>
      <w:r>
        <w:rPr>
          <w:rFonts w:ascii="Times New Roman" w:hAnsi="Times New Roman" w:cs="Times New Roman"/>
          <w:sz w:val="22"/>
          <w:lang w:val="en-GB"/>
        </w:rPr>
        <w:t xml:space="preserve"> on </w:t>
      </w:r>
      <w:r w:rsidR="000A498C">
        <w:rPr>
          <w:rFonts w:ascii="Times New Roman" w:hAnsi="Times New Roman" w:cs="Times New Roman"/>
          <w:sz w:val="22"/>
          <w:lang w:val="en-GB"/>
        </w:rPr>
        <w:t xml:space="preserve">the </w:t>
      </w:r>
      <w:r>
        <w:rPr>
          <w:rFonts w:ascii="Times New Roman" w:hAnsi="Times New Roman" w:cs="Times New Roman"/>
          <w:sz w:val="22"/>
          <w:lang w:val="en-GB"/>
        </w:rPr>
        <w:t>model has be made as below</w:t>
      </w:r>
      <w:r w:rsidR="000A1941">
        <w:rPr>
          <w:rFonts w:ascii="Times New Roman" w:hAnsi="Times New Roman" w:cs="Times New Roman" w:hint="eastAsia"/>
          <w:sz w:val="22"/>
          <w:lang w:val="en-GB"/>
        </w:rPr>
        <w:t xml:space="preserve"> </w:t>
      </w:r>
      <w:r w:rsidR="000A498C">
        <w:rPr>
          <w:rFonts w:ascii="Times New Roman" w:hAnsi="Times New Roman" w:cs="Times New Roman"/>
          <w:sz w:val="22"/>
          <w:lang w:val="en-GB"/>
        </w:rPr>
        <w:t>[2]</w:t>
      </w:r>
      <w:r>
        <w:rPr>
          <w:rFonts w:ascii="Times New Roman" w:hAnsi="Times New Roman" w:cs="Times New Roman"/>
          <w:sz w:val="22"/>
          <w:lang w:val="en-GB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77D49" w14:paraId="6DB4E2C6" w14:textId="77777777" w:rsidTr="00377D49">
        <w:tc>
          <w:tcPr>
            <w:tcW w:w="9628" w:type="dxa"/>
          </w:tcPr>
          <w:p w14:paraId="4F6CAFA7" w14:textId="77777777" w:rsidR="00377D49" w:rsidRPr="00017039" w:rsidRDefault="00377D49" w:rsidP="00377D49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  <w:rPr>
                <w:lang w:val="en-US" w:eastAsia="ko-KR"/>
              </w:rPr>
            </w:pPr>
            <w:r w:rsidRPr="00017039">
              <w:rPr>
                <w:lang w:val="en-US" w:eastAsia="ko-KR"/>
              </w:rPr>
              <w:t>RAN2 confirm the simplified procedures on the L1L2 mobility model as a baseline RAN2 understanding:</w:t>
            </w:r>
          </w:p>
          <w:p w14:paraId="179B7EE6" w14:textId="77777777" w:rsidR="00377D49" w:rsidRPr="00017039" w:rsidRDefault="00377D49" w:rsidP="00377D49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 w:eastAsia="ko-KR"/>
              </w:rPr>
            </w:pPr>
            <w:r w:rsidRPr="00017039">
              <w:rPr>
                <w:lang w:val="en-US" w:eastAsia="ko-KR"/>
              </w:rPr>
              <w:t>Scenario 2: L1L2 mobility model (i.e. with serving cell change)</w:t>
            </w:r>
          </w:p>
          <w:p w14:paraId="4360003E" w14:textId="77777777" w:rsidR="00377D49" w:rsidRPr="00017039" w:rsidRDefault="00377D49" w:rsidP="00377D49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 w:eastAsia="ko-KR"/>
              </w:rPr>
            </w:pPr>
            <w:r w:rsidRPr="00017039">
              <w:rPr>
                <w:lang w:val="en-US" w:eastAsia="ko-KR"/>
              </w:rPr>
              <w:t xml:space="preserve">1. UE receives from serving cell, configuration of SSBs of the cell with different PCI for beam measurement/ serving cell change. </w:t>
            </w:r>
          </w:p>
          <w:p w14:paraId="54F61753" w14:textId="77777777" w:rsidR="00377D49" w:rsidRPr="00017039" w:rsidRDefault="00377D49" w:rsidP="00377D49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 w:eastAsia="ko-KR"/>
              </w:rPr>
            </w:pPr>
            <w:r w:rsidRPr="00017039">
              <w:rPr>
                <w:lang w:val="en-US" w:eastAsia="ko-KR"/>
              </w:rPr>
              <w:t xml:space="preserve">2. UE performs beam measurement for the cell with different PCI and report it to serving cell. </w:t>
            </w:r>
          </w:p>
          <w:p w14:paraId="7FE9ABF5" w14:textId="77777777" w:rsidR="00377D49" w:rsidRPr="00017039" w:rsidRDefault="00377D49" w:rsidP="00377D49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 w:eastAsia="ko-KR"/>
              </w:rPr>
            </w:pPr>
            <w:r w:rsidRPr="00017039">
              <w:rPr>
                <w:lang w:val="en-US" w:eastAsia="ko-KR"/>
              </w:rPr>
              <w:t xml:space="preserve">3. Serving cell configuration for cell with other PCI is provided to the UE by RRC (pre-configuration for serving cell change, FFS if this step is same as 1). </w:t>
            </w:r>
          </w:p>
          <w:p w14:paraId="4276C9EB" w14:textId="2BF88BB6" w:rsidR="00377D49" w:rsidRPr="00017039" w:rsidRDefault="00377D49" w:rsidP="00377D49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 w:eastAsia="ko-KR"/>
              </w:rPr>
            </w:pPr>
            <w:r w:rsidRPr="00017039">
              <w:rPr>
                <w:lang w:val="en-US" w:eastAsia="ko-KR"/>
              </w:rPr>
              <w:t>4. Based on the above reports, TCI states for cell with different PCI is activated along with the serving cell change (by L1/L2 signaling). FFS if this is multiple steps.</w:t>
            </w:r>
          </w:p>
          <w:p w14:paraId="622D1635" w14:textId="77777777" w:rsidR="00377D49" w:rsidRPr="00017039" w:rsidRDefault="00377D49" w:rsidP="00377D49">
            <w:pPr>
              <w:pStyle w:val="Agreement"/>
              <w:numPr>
                <w:ilvl w:val="0"/>
                <w:numId w:val="0"/>
              </w:numPr>
              <w:ind w:left="1619"/>
              <w:rPr>
                <w:lang w:val="en-US" w:eastAsia="ko-KR"/>
              </w:rPr>
            </w:pPr>
            <w:r w:rsidRPr="00017039">
              <w:rPr>
                <w:lang w:val="en-US" w:eastAsia="ko-KR"/>
              </w:rPr>
              <w:t>5. UE changes the serving cell and starts receiving/transmitting using the pre-configured UE-dedicated channel and TCI states.</w:t>
            </w:r>
          </w:p>
          <w:p w14:paraId="76B9E749" w14:textId="77777777" w:rsidR="00377D49" w:rsidRPr="00017039" w:rsidRDefault="00377D49" w:rsidP="00377D49">
            <w:pPr>
              <w:pStyle w:val="Doc-text2"/>
              <w:ind w:left="0" w:firstLine="0"/>
            </w:pPr>
          </w:p>
          <w:p w14:paraId="54EADB45" w14:textId="77777777" w:rsidR="00377D49" w:rsidRPr="00017039" w:rsidRDefault="00377D49" w:rsidP="00377D49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017039">
              <w:lastRenderedPageBreak/>
              <w:t xml:space="preserve">Ask R1 to confirm that L1L2 mobility is assumed to be based on L1 measurements (not in R2 scope) </w:t>
            </w:r>
          </w:p>
          <w:p w14:paraId="50EADABB" w14:textId="77777777" w:rsidR="00377D49" w:rsidRPr="00017039" w:rsidRDefault="00377D49" w:rsidP="00377D49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  <w:rPr>
                <w:lang w:val="en-US"/>
              </w:rPr>
            </w:pPr>
            <w:r w:rsidRPr="00017039">
              <w:rPr>
                <w:lang w:val="en-US"/>
              </w:rPr>
              <w:t xml:space="preserve">R2 assumes for now that L1L2 mobility model includes Pcell mobility and possibly also Scell mobility (FFS). </w:t>
            </w:r>
          </w:p>
          <w:p w14:paraId="5CD60AA7" w14:textId="77777777" w:rsidR="00377D49" w:rsidRPr="00017039" w:rsidRDefault="00377D49" w:rsidP="00377D49">
            <w:pPr>
              <w:pStyle w:val="Agreement"/>
              <w:tabs>
                <w:tab w:val="num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</w:pPr>
            <w:r w:rsidRPr="00017039">
              <w:t>R2 assumes that for both multi-TRP and mobility scenarios, single protocol stack can be assumed (intra-DU)</w:t>
            </w:r>
          </w:p>
          <w:p w14:paraId="76030A73" w14:textId="39F126C6" w:rsidR="00377D49" w:rsidRPr="00377D49" w:rsidRDefault="00377D49" w:rsidP="0065126E">
            <w:pPr>
              <w:spacing w:after="240"/>
              <w:jc w:val="both"/>
              <w:rPr>
                <w:rFonts w:ascii="Times New Roman" w:hAnsi="Times New Roman" w:cs="Times New Roman"/>
                <w:sz w:val="22"/>
                <w:lang w:val="x-none"/>
              </w:rPr>
            </w:pPr>
          </w:p>
        </w:tc>
      </w:tr>
    </w:tbl>
    <w:p w14:paraId="125EC32D" w14:textId="708D21D3" w:rsidR="00A27E63" w:rsidRPr="00377D49" w:rsidRDefault="00A27C5B" w:rsidP="0065126E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lastRenderedPageBreak/>
        <w:t>w</w:t>
      </w:r>
      <w:r w:rsidR="00377D49">
        <w:rPr>
          <w:rFonts w:ascii="Times New Roman" w:hAnsi="Times New Roman" w:cs="Times New Roman"/>
          <w:sz w:val="22"/>
          <w:lang w:val="en-GB"/>
        </w:rPr>
        <w:t xml:space="preserve">hich </w:t>
      </w:r>
      <w:r>
        <w:rPr>
          <w:rFonts w:ascii="Times New Roman" w:hAnsi="Times New Roman" w:cs="Times New Roman"/>
          <w:sz w:val="22"/>
          <w:lang w:val="en-GB"/>
        </w:rPr>
        <w:t>should be considered</w:t>
      </w:r>
      <w:r w:rsidR="00377D49">
        <w:rPr>
          <w:rFonts w:ascii="Times New Roman" w:hAnsi="Times New Roman" w:cs="Times New Roman"/>
          <w:sz w:val="22"/>
          <w:lang w:val="en-GB"/>
        </w:rPr>
        <w:t xml:space="preserve"> as a baseline for candidate solutions for the </w:t>
      </w:r>
      <w:r w:rsidR="002C11C3">
        <w:rPr>
          <w:rFonts w:ascii="Times New Roman" w:hAnsi="Times New Roman" w:cs="Times New Roman"/>
          <w:sz w:val="22"/>
          <w:lang w:val="en-GB"/>
        </w:rPr>
        <w:t>L1 L2</w:t>
      </w:r>
      <w:r w:rsidR="00377D49">
        <w:rPr>
          <w:rFonts w:ascii="Times New Roman" w:hAnsi="Times New Roman" w:cs="Times New Roman"/>
          <w:sz w:val="22"/>
          <w:lang w:val="en-GB"/>
        </w:rPr>
        <w:t xml:space="preserve"> mobility procedure.</w:t>
      </w:r>
      <w:r>
        <w:rPr>
          <w:rFonts w:ascii="Times New Roman" w:hAnsi="Times New Roman" w:cs="Times New Roman"/>
          <w:sz w:val="22"/>
          <w:lang w:val="en-GB"/>
        </w:rPr>
        <w:t xml:space="preserve"> That is, a UE can be pre-configured with configuration</w:t>
      </w:r>
      <w:r w:rsidR="000A1941">
        <w:rPr>
          <w:rFonts w:ascii="Times New Roman" w:hAnsi="Times New Roman" w:cs="Times New Roman" w:hint="eastAsia"/>
          <w:sz w:val="22"/>
          <w:lang w:val="en-GB"/>
        </w:rPr>
        <w:t xml:space="preserve"> o</w:t>
      </w:r>
      <w:r w:rsidR="000A1941">
        <w:rPr>
          <w:rFonts w:ascii="Times New Roman" w:hAnsi="Times New Roman" w:cs="Times New Roman"/>
          <w:sz w:val="22"/>
          <w:lang w:val="en-GB"/>
        </w:rPr>
        <w:t>f target Cell, including SSB,</w:t>
      </w:r>
      <w:r>
        <w:rPr>
          <w:rFonts w:ascii="Times New Roman" w:hAnsi="Times New Roman" w:cs="Times New Roman"/>
          <w:sz w:val="22"/>
          <w:lang w:val="en-GB"/>
        </w:rPr>
        <w:t xml:space="preserve"> via RRC signalling, and can activate TCI states </w:t>
      </w:r>
      <w:r w:rsidR="000A1941">
        <w:rPr>
          <w:rFonts w:ascii="Times New Roman" w:hAnsi="Times New Roman" w:cs="Times New Roman"/>
          <w:sz w:val="22"/>
          <w:lang w:val="en-GB"/>
        </w:rPr>
        <w:t>of the</w:t>
      </w:r>
      <w:r>
        <w:rPr>
          <w:rFonts w:ascii="Times New Roman" w:hAnsi="Times New Roman" w:cs="Times New Roman"/>
          <w:sz w:val="22"/>
          <w:lang w:val="en-GB"/>
        </w:rPr>
        <w:t xml:space="preserve"> target Cell and changes its Serving Cell </w:t>
      </w:r>
      <w:r w:rsidR="000A1941">
        <w:rPr>
          <w:rFonts w:ascii="Times New Roman" w:hAnsi="Times New Roman" w:cs="Times New Roman"/>
          <w:sz w:val="22"/>
          <w:lang w:val="en-GB"/>
        </w:rPr>
        <w:t xml:space="preserve">to the target cell </w:t>
      </w:r>
      <w:r>
        <w:rPr>
          <w:rFonts w:ascii="Times New Roman" w:hAnsi="Times New Roman" w:cs="Times New Roman"/>
          <w:sz w:val="22"/>
          <w:lang w:val="en-GB"/>
        </w:rPr>
        <w:t>by a L1/L2 signaling.</w:t>
      </w:r>
      <w:r w:rsidR="00EB44EC">
        <w:rPr>
          <w:rFonts w:ascii="Times New Roman" w:hAnsi="Times New Roman" w:cs="Times New Roman"/>
          <w:sz w:val="22"/>
          <w:lang w:val="en-GB"/>
        </w:rPr>
        <w:t xml:space="preserve"> </w:t>
      </w:r>
    </w:p>
    <w:p w14:paraId="4C413AAF" w14:textId="47599C60" w:rsidR="0005193D" w:rsidRDefault="0005193D" w:rsidP="00C27C4D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C3109E">
        <w:rPr>
          <w:rFonts w:ascii="Times New Roman" w:hAnsi="Times New Roman" w:cs="Times New Roman"/>
          <w:b/>
          <w:sz w:val="22"/>
          <w:lang w:val="en-GB"/>
        </w:rPr>
        <w:t>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2C11C3">
        <w:rPr>
          <w:rFonts w:ascii="Times New Roman" w:hAnsi="Times New Roman" w:cs="Times New Roman"/>
          <w:b/>
          <w:sz w:val="22"/>
          <w:lang w:val="en-GB"/>
        </w:rPr>
        <w:t>L1 L2</w:t>
      </w:r>
      <w:r w:rsidR="00377D49">
        <w:rPr>
          <w:rFonts w:ascii="Times New Roman" w:hAnsi="Times New Roman" w:cs="Times New Roman"/>
          <w:b/>
          <w:sz w:val="22"/>
          <w:lang w:val="en-GB"/>
        </w:rPr>
        <w:t xml:space="preserve"> mobility model </w:t>
      </w:r>
      <w:r w:rsidR="00324C36">
        <w:rPr>
          <w:rFonts w:ascii="Times New Roman" w:hAnsi="Times New Roman" w:cs="Times New Roman"/>
          <w:b/>
          <w:sz w:val="22"/>
          <w:lang w:val="en-GB"/>
        </w:rPr>
        <w:t xml:space="preserve">for PCell/SCell </w:t>
      </w:r>
      <w:r w:rsidR="00377D49">
        <w:rPr>
          <w:rFonts w:ascii="Times New Roman" w:hAnsi="Times New Roman" w:cs="Times New Roman"/>
          <w:b/>
          <w:sz w:val="22"/>
          <w:lang w:val="en-GB"/>
        </w:rPr>
        <w:t>agreed in Rel-17 feMIMO work item should be considered as baseline</w:t>
      </w:r>
      <w:r w:rsidR="007E4323">
        <w:rPr>
          <w:rFonts w:ascii="Times New Roman" w:hAnsi="Times New Roman" w:cs="Times New Roman"/>
          <w:b/>
          <w:sz w:val="22"/>
          <w:lang w:val="en-GB"/>
        </w:rPr>
        <w:t xml:space="preserve"> for candidate solutions</w:t>
      </w:r>
      <w:r w:rsidR="000A1941">
        <w:rPr>
          <w:rFonts w:ascii="Times New Roman" w:hAnsi="Times New Roman" w:cs="Times New Roman"/>
          <w:b/>
          <w:sz w:val="22"/>
          <w:lang w:val="en-GB"/>
        </w:rPr>
        <w:t>:</w:t>
      </w:r>
    </w:p>
    <w:p w14:paraId="7D94B58B" w14:textId="77777777" w:rsidR="000A1941" w:rsidRPr="00017039" w:rsidRDefault="000A1941" w:rsidP="000A1941">
      <w:pPr>
        <w:pStyle w:val="Agreement"/>
        <w:numPr>
          <w:ilvl w:val="0"/>
          <w:numId w:val="0"/>
        </w:numPr>
        <w:ind w:left="1619"/>
        <w:rPr>
          <w:lang w:val="en-US" w:eastAsia="ko-KR"/>
        </w:rPr>
      </w:pPr>
      <w:r w:rsidRPr="00017039">
        <w:rPr>
          <w:lang w:val="en-US" w:eastAsia="ko-KR"/>
        </w:rPr>
        <w:t xml:space="preserve">1. UE receives from serving cell, configuration of SSBs of the cell with different PCI for beam measurement/ serving cell change. </w:t>
      </w:r>
    </w:p>
    <w:p w14:paraId="4D058C08" w14:textId="77777777" w:rsidR="000A1941" w:rsidRPr="00017039" w:rsidRDefault="000A1941" w:rsidP="000A1941">
      <w:pPr>
        <w:pStyle w:val="Agreement"/>
        <w:numPr>
          <w:ilvl w:val="0"/>
          <w:numId w:val="0"/>
        </w:numPr>
        <w:ind w:left="1619"/>
        <w:rPr>
          <w:lang w:val="en-US" w:eastAsia="ko-KR"/>
        </w:rPr>
      </w:pPr>
      <w:r w:rsidRPr="00017039">
        <w:rPr>
          <w:lang w:val="en-US" w:eastAsia="ko-KR"/>
        </w:rPr>
        <w:t xml:space="preserve">2. UE performs beam measurement for the cell with different PCI and report it to serving cell. </w:t>
      </w:r>
    </w:p>
    <w:p w14:paraId="68D9F688" w14:textId="77777777" w:rsidR="000A1941" w:rsidRPr="00017039" w:rsidRDefault="000A1941" w:rsidP="000A1941">
      <w:pPr>
        <w:pStyle w:val="Agreement"/>
        <w:numPr>
          <w:ilvl w:val="0"/>
          <w:numId w:val="0"/>
        </w:numPr>
        <w:ind w:left="1619"/>
        <w:rPr>
          <w:lang w:val="en-US" w:eastAsia="ko-KR"/>
        </w:rPr>
      </w:pPr>
      <w:r w:rsidRPr="00017039">
        <w:rPr>
          <w:lang w:val="en-US" w:eastAsia="ko-KR"/>
        </w:rPr>
        <w:t xml:space="preserve">3. Serving cell configuration for cell with other PCI is provided to the UE by RRC (pre-configuration for serving cell change, FFS if this step is same as 1). </w:t>
      </w:r>
    </w:p>
    <w:p w14:paraId="0CD3A144" w14:textId="77777777" w:rsidR="000A1941" w:rsidRPr="00017039" w:rsidRDefault="000A1941" w:rsidP="000A1941">
      <w:pPr>
        <w:pStyle w:val="Agreement"/>
        <w:numPr>
          <w:ilvl w:val="0"/>
          <w:numId w:val="0"/>
        </w:numPr>
        <w:ind w:left="1619"/>
        <w:rPr>
          <w:lang w:val="en-US" w:eastAsia="ko-KR"/>
        </w:rPr>
      </w:pPr>
      <w:r w:rsidRPr="00017039">
        <w:rPr>
          <w:lang w:val="en-US" w:eastAsia="ko-KR"/>
        </w:rPr>
        <w:t>4. Based on the above reports, TCI states for cell with different PCI is activated along with the serving cell change (by L1/L2 signaling). FFS if this is multiple steps.</w:t>
      </w:r>
    </w:p>
    <w:p w14:paraId="2DDE69B9" w14:textId="77777777" w:rsidR="000A1941" w:rsidRPr="00017039" w:rsidRDefault="000A1941" w:rsidP="000A1941">
      <w:pPr>
        <w:pStyle w:val="Agreement"/>
        <w:numPr>
          <w:ilvl w:val="0"/>
          <w:numId w:val="0"/>
        </w:numPr>
        <w:ind w:left="1619"/>
        <w:rPr>
          <w:lang w:val="en-US" w:eastAsia="ko-KR"/>
        </w:rPr>
      </w:pPr>
      <w:r w:rsidRPr="00017039">
        <w:rPr>
          <w:lang w:val="en-US" w:eastAsia="ko-KR"/>
        </w:rPr>
        <w:t>5. UE changes the serving cell and starts receiving/transmitting using the pre-configured UE-dedicated channel and TCI states.</w:t>
      </w:r>
    </w:p>
    <w:p w14:paraId="1E7EB28E" w14:textId="77777777" w:rsidR="000A1941" w:rsidRPr="00C27C4D" w:rsidRDefault="000A1941" w:rsidP="00C27C4D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</w:p>
    <w:p w14:paraId="41DCBD17" w14:textId="53D0DB60" w:rsidR="00E91028" w:rsidRDefault="007354CC" w:rsidP="00E91028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>R</w:t>
      </w:r>
      <w:r w:rsidR="000D42FC">
        <w:rPr>
          <w:rFonts w:ascii="Times New Roman" w:hAnsi="Times New Roman" w:cs="Times New Roman"/>
          <w:b/>
          <w:sz w:val="22"/>
          <w:u w:val="single"/>
          <w:lang w:val="en-GB"/>
        </w:rPr>
        <w:t>andom access procedure</w:t>
      </w: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 </w:t>
      </w:r>
      <w:r w:rsidR="00A27C5B">
        <w:rPr>
          <w:rFonts w:ascii="Times New Roman" w:hAnsi="Times New Roman" w:cs="Times New Roman"/>
          <w:b/>
          <w:sz w:val="22"/>
          <w:u w:val="single"/>
          <w:lang w:val="en-GB"/>
        </w:rPr>
        <w:t xml:space="preserve">for </w:t>
      </w:r>
      <w:r w:rsidR="002C11C3">
        <w:rPr>
          <w:rFonts w:ascii="Times New Roman" w:hAnsi="Times New Roman" w:cs="Times New Roman"/>
          <w:b/>
          <w:sz w:val="22"/>
          <w:u w:val="single"/>
          <w:lang w:val="en-GB"/>
        </w:rPr>
        <w:t>L1 L2</w:t>
      </w:r>
      <w:r w:rsidR="00A27C5B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mobility</w:t>
      </w:r>
    </w:p>
    <w:p w14:paraId="2CFD0833" w14:textId="1A0E2D6C" w:rsidR="008179B0" w:rsidRDefault="006D4F68" w:rsidP="005A517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 xml:space="preserve">In the current </w:t>
      </w:r>
      <w:r w:rsidR="005A5179">
        <w:rPr>
          <w:rFonts w:ascii="Times New Roman" w:hAnsi="Times New Roman" w:cs="Times New Roman"/>
          <w:sz w:val="22"/>
          <w:lang w:val="en-GB"/>
        </w:rPr>
        <w:t xml:space="preserve">reconfiguration with synchronization procedure (handover), the UE </w:t>
      </w:r>
      <w:r w:rsidR="00EB44EC">
        <w:rPr>
          <w:rFonts w:ascii="Times New Roman" w:hAnsi="Times New Roman" w:cs="Times New Roman"/>
          <w:sz w:val="22"/>
          <w:lang w:val="en-GB"/>
        </w:rPr>
        <w:t>initiates</w:t>
      </w:r>
      <w:r w:rsidR="005A5179">
        <w:rPr>
          <w:rFonts w:ascii="Times New Roman" w:hAnsi="Times New Roman" w:cs="Times New Roman"/>
          <w:sz w:val="22"/>
          <w:lang w:val="en-GB"/>
        </w:rPr>
        <w:t xml:space="preserve"> a random access procedure to the target </w:t>
      </w:r>
      <w:r w:rsidR="003504B5">
        <w:rPr>
          <w:rFonts w:ascii="Times New Roman" w:hAnsi="Times New Roman" w:cs="Times New Roman"/>
          <w:sz w:val="22"/>
          <w:lang w:val="en-GB"/>
        </w:rPr>
        <w:t>Cell</w:t>
      </w:r>
      <w:r w:rsidR="005A5179">
        <w:rPr>
          <w:rFonts w:ascii="Times New Roman" w:hAnsi="Times New Roman" w:cs="Times New Roman"/>
          <w:sz w:val="22"/>
          <w:lang w:val="en-GB"/>
        </w:rPr>
        <w:t xml:space="preserve"> in order to obtain a UL TA for synchronizing with the target </w:t>
      </w:r>
      <w:r w:rsidR="003504B5">
        <w:rPr>
          <w:rFonts w:ascii="Times New Roman" w:hAnsi="Times New Roman" w:cs="Times New Roman"/>
          <w:sz w:val="22"/>
          <w:lang w:val="en-GB"/>
        </w:rPr>
        <w:t>Cell</w:t>
      </w:r>
      <w:r w:rsidR="005A5179">
        <w:rPr>
          <w:rFonts w:ascii="Times New Roman" w:hAnsi="Times New Roman" w:cs="Times New Roman"/>
          <w:sz w:val="22"/>
          <w:lang w:val="en-GB"/>
        </w:rPr>
        <w:t>.</w:t>
      </w:r>
      <w:r w:rsidR="00EB44EC">
        <w:rPr>
          <w:rFonts w:ascii="Times New Roman" w:hAnsi="Times New Roman" w:cs="Times New Roman"/>
          <w:sz w:val="22"/>
          <w:lang w:val="en-GB"/>
        </w:rPr>
        <w:t xml:space="preserve"> In </w:t>
      </w:r>
      <w:r w:rsidR="002C11C3">
        <w:rPr>
          <w:rFonts w:ascii="Times New Roman" w:hAnsi="Times New Roman" w:cs="Times New Roman"/>
          <w:sz w:val="22"/>
          <w:lang w:val="en-GB"/>
        </w:rPr>
        <w:t>L1 L2</w:t>
      </w:r>
      <w:r w:rsidR="00EB44EC">
        <w:rPr>
          <w:rFonts w:ascii="Times New Roman" w:hAnsi="Times New Roman" w:cs="Times New Roman"/>
          <w:sz w:val="22"/>
          <w:lang w:val="en-GB"/>
        </w:rPr>
        <w:t xml:space="preserve"> mobility procedure, similar procedure can be reused</w:t>
      </w:r>
      <w:r w:rsidR="00794455">
        <w:rPr>
          <w:rFonts w:ascii="Times New Roman" w:hAnsi="Times New Roman" w:cs="Times New Roman"/>
          <w:sz w:val="22"/>
          <w:lang w:val="en-GB"/>
        </w:rPr>
        <w:t xml:space="preserve"> for obtaining UL TA</w:t>
      </w:r>
      <w:r w:rsidR="00EB44EC">
        <w:rPr>
          <w:rFonts w:ascii="Times New Roman" w:hAnsi="Times New Roman" w:cs="Times New Roman"/>
          <w:sz w:val="22"/>
          <w:lang w:val="en-GB"/>
        </w:rPr>
        <w:t xml:space="preserve">. For example, </w:t>
      </w:r>
      <w:r w:rsidR="00AA43E0">
        <w:rPr>
          <w:rFonts w:ascii="Times New Roman" w:hAnsi="Times New Roman" w:cs="Times New Roman"/>
          <w:sz w:val="22"/>
          <w:lang w:val="en-GB"/>
        </w:rPr>
        <w:t>the UE could initiate a random access procedure to target Cell when receiving the L1/L2 signaling for serving cell change. The random access procedure can be either contention-based or contention-free based on network configuration and/or cha</w:t>
      </w:r>
      <w:r w:rsidR="008179B0">
        <w:rPr>
          <w:rFonts w:ascii="Times New Roman" w:hAnsi="Times New Roman" w:cs="Times New Roman"/>
          <w:sz w:val="22"/>
          <w:lang w:val="en-GB"/>
        </w:rPr>
        <w:t xml:space="preserve">nnel quality. </w:t>
      </w:r>
    </w:p>
    <w:p w14:paraId="10CEDE3F" w14:textId="7E957168" w:rsidR="007F1433" w:rsidRDefault="008179B0" w:rsidP="005A5179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addition</w:t>
      </w:r>
      <w:r w:rsidR="00AA43E0">
        <w:rPr>
          <w:rFonts w:ascii="Times New Roman" w:hAnsi="Times New Roman" w:cs="Times New Roman"/>
          <w:sz w:val="22"/>
          <w:lang w:val="en-GB"/>
        </w:rPr>
        <w:t xml:space="preserve">, </w:t>
      </w:r>
      <w:r w:rsidR="002355CD">
        <w:rPr>
          <w:rFonts w:ascii="Times New Roman" w:hAnsi="Times New Roman" w:cs="Times New Roman"/>
          <w:sz w:val="22"/>
          <w:lang w:val="en-GB"/>
        </w:rPr>
        <w:t xml:space="preserve">in order to reduce latency caused by random access procedures, </w:t>
      </w:r>
      <w:r w:rsidR="00AA43E0">
        <w:rPr>
          <w:rFonts w:ascii="Times New Roman" w:hAnsi="Times New Roman" w:cs="Times New Roman"/>
          <w:sz w:val="22"/>
          <w:lang w:val="en-GB"/>
        </w:rPr>
        <w:t xml:space="preserve">the </w:t>
      </w:r>
      <w:r w:rsidR="002C11C3">
        <w:rPr>
          <w:rFonts w:ascii="Times New Roman" w:hAnsi="Times New Roman" w:cs="Times New Roman"/>
          <w:sz w:val="22"/>
          <w:lang w:val="en-GB"/>
        </w:rPr>
        <w:t>L1 L2</w:t>
      </w:r>
      <w:r w:rsidR="00AA43E0">
        <w:rPr>
          <w:rFonts w:ascii="Times New Roman" w:hAnsi="Times New Roman" w:cs="Times New Roman"/>
          <w:sz w:val="22"/>
          <w:lang w:val="en-GB"/>
        </w:rPr>
        <w:t xml:space="preserve"> mobility procedure may also leverage RACH-less </w:t>
      </w:r>
      <w:r w:rsidR="002355CD">
        <w:rPr>
          <w:rFonts w:ascii="Times New Roman" w:hAnsi="Times New Roman" w:cs="Times New Roman"/>
          <w:sz w:val="22"/>
          <w:lang w:val="en-GB"/>
        </w:rPr>
        <w:t>mechanism, where TA information is provided by source gNB so that the UE does not need to perform random access procedure to obtain UL TA.</w:t>
      </w:r>
      <w:r w:rsidR="009D37A5">
        <w:rPr>
          <w:rFonts w:ascii="Times New Roman" w:hAnsi="Times New Roman" w:cs="Times New Roman"/>
          <w:sz w:val="22"/>
          <w:lang w:val="en-GB"/>
        </w:rPr>
        <w:t xml:space="preserve"> For example, the </w:t>
      </w:r>
      <w:r>
        <w:rPr>
          <w:rFonts w:ascii="Times New Roman" w:hAnsi="Times New Roman" w:cs="Times New Roman"/>
          <w:sz w:val="22"/>
          <w:lang w:val="en-GB"/>
        </w:rPr>
        <w:t xml:space="preserve">source gNB can provide or pre-configure TA information for target </w:t>
      </w:r>
      <w:r w:rsidR="00794455">
        <w:rPr>
          <w:rFonts w:ascii="Times New Roman" w:hAnsi="Times New Roman" w:cs="Times New Roman"/>
          <w:sz w:val="22"/>
          <w:lang w:val="en-GB"/>
        </w:rPr>
        <w:t>Cell</w:t>
      </w:r>
      <w:r>
        <w:rPr>
          <w:rFonts w:ascii="Times New Roman" w:hAnsi="Times New Roman" w:cs="Times New Roman"/>
          <w:sz w:val="22"/>
          <w:lang w:val="en-GB"/>
        </w:rPr>
        <w:t xml:space="preserve"> via RRC message</w:t>
      </w:r>
      <w:r w:rsidR="002355CD">
        <w:rPr>
          <w:rFonts w:ascii="Times New Roman" w:hAnsi="Times New Roman" w:cs="Times New Roman"/>
          <w:sz w:val="22"/>
          <w:lang w:val="en-GB"/>
        </w:rPr>
        <w:t xml:space="preserve"> or via L1/L2 signaling</w:t>
      </w:r>
      <w:r>
        <w:rPr>
          <w:rFonts w:ascii="Times New Roman" w:hAnsi="Times New Roman" w:cs="Times New Roman"/>
          <w:sz w:val="22"/>
          <w:lang w:val="en-GB"/>
        </w:rPr>
        <w:t xml:space="preserve">. The UE can apply the TA of the target </w:t>
      </w:r>
      <w:r w:rsidR="00794455">
        <w:rPr>
          <w:rFonts w:ascii="Times New Roman" w:hAnsi="Times New Roman" w:cs="Times New Roman"/>
          <w:sz w:val="22"/>
          <w:lang w:val="en-GB"/>
        </w:rPr>
        <w:t>Cell</w:t>
      </w:r>
      <w:r>
        <w:rPr>
          <w:rFonts w:ascii="Times New Roman" w:hAnsi="Times New Roman" w:cs="Times New Roman"/>
          <w:sz w:val="22"/>
          <w:lang w:val="en-GB"/>
        </w:rPr>
        <w:t xml:space="preserve"> when performing serving cell change to the target </w:t>
      </w:r>
      <w:r w:rsidR="00794455">
        <w:rPr>
          <w:rFonts w:ascii="Times New Roman" w:hAnsi="Times New Roman" w:cs="Times New Roman"/>
          <w:sz w:val="22"/>
          <w:lang w:val="en-GB"/>
        </w:rPr>
        <w:t>Cell</w:t>
      </w:r>
      <w:r>
        <w:rPr>
          <w:rFonts w:ascii="Times New Roman" w:hAnsi="Times New Roman" w:cs="Times New Roman"/>
          <w:sz w:val="22"/>
          <w:lang w:val="en-GB"/>
        </w:rPr>
        <w:t xml:space="preserve"> in response to L1/L2 signaling of the </w:t>
      </w:r>
      <w:r w:rsidR="002C11C3">
        <w:rPr>
          <w:rFonts w:ascii="Times New Roman" w:hAnsi="Times New Roman" w:cs="Times New Roman"/>
          <w:sz w:val="22"/>
          <w:lang w:val="en-GB"/>
        </w:rPr>
        <w:t>L1 L2</w:t>
      </w:r>
      <w:r>
        <w:rPr>
          <w:rFonts w:ascii="Times New Roman" w:hAnsi="Times New Roman" w:cs="Times New Roman"/>
          <w:sz w:val="22"/>
          <w:lang w:val="en-GB"/>
        </w:rPr>
        <w:t xml:space="preserve"> mobility procedure.</w:t>
      </w:r>
      <w:r w:rsidR="002355CD">
        <w:rPr>
          <w:rFonts w:ascii="Times New Roman" w:hAnsi="Times New Roman" w:cs="Times New Roman"/>
          <w:sz w:val="22"/>
          <w:lang w:val="en-GB"/>
        </w:rPr>
        <w:t xml:space="preserve"> If the </w:t>
      </w:r>
      <w:r w:rsidR="00794455">
        <w:rPr>
          <w:rFonts w:ascii="Times New Roman" w:hAnsi="Times New Roman" w:cs="Times New Roman"/>
          <w:sz w:val="22"/>
          <w:lang w:val="en-GB"/>
        </w:rPr>
        <w:t xml:space="preserve">source </w:t>
      </w:r>
      <w:r w:rsidR="002355CD">
        <w:rPr>
          <w:rFonts w:ascii="Times New Roman" w:hAnsi="Times New Roman" w:cs="Times New Roman"/>
          <w:sz w:val="22"/>
          <w:lang w:val="en-GB"/>
        </w:rPr>
        <w:t xml:space="preserve">gNB cannot or does not provide </w:t>
      </w:r>
      <w:r w:rsidR="00794455">
        <w:rPr>
          <w:rFonts w:ascii="Times New Roman" w:hAnsi="Times New Roman" w:cs="Times New Roman"/>
          <w:sz w:val="22"/>
          <w:lang w:val="en-GB"/>
        </w:rPr>
        <w:t xml:space="preserve">UL </w:t>
      </w:r>
      <w:r w:rsidR="002355CD">
        <w:rPr>
          <w:rFonts w:ascii="Times New Roman" w:hAnsi="Times New Roman" w:cs="Times New Roman"/>
          <w:sz w:val="22"/>
          <w:lang w:val="en-GB"/>
        </w:rPr>
        <w:t xml:space="preserve">TA </w:t>
      </w:r>
      <w:r w:rsidR="00794455">
        <w:rPr>
          <w:rFonts w:ascii="Times New Roman" w:hAnsi="Times New Roman" w:cs="Times New Roman"/>
          <w:sz w:val="22"/>
          <w:lang w:val="en-GB"/>
        </w:rPr>
        <w:t xml:space="preserve">of target Cell </w:t>
      </w:r>
      <w:r w:rsidR="002355CD">
        <w:rPr>
          <w:rFonts w:ascii="Times New Roman" w:hAnsi="Times New Roman" w:cs="Times New Roman"/>
          <w:sz w:val="22"/>
          <w:lang w:val="en-GB"/>
        </w:rPr>
        <w:t>for the UE, the UE can fallback to RACH-based procedure.</w:t>
      </w:r>
    </w:p>
    <w:p w14:paraId="226EB130" w14:textId="462C8FCD" w:rsidR="006D4F68" w:rsidRDefault="00C42AE5" w:rsidP="00AA43E0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6D4F68">
        <w:rPr>
          <w:rFonts w:ascii="Times New Roman" w:hAnsi="Times New Roman" w:cs="Times New Roman"/>
          <w:b/>
          <w:sz w:val="22"/>
          <w:lang w:val="en-GB"/>
        </w:rPr>
        <w:t>2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AA43E0">
        <w:rPr>
          <w:rFonts w:ascii="Times New Roman" w:hAnsi="Times New Roman" w:cs="Times New Roman"/>
          <w:b/>
          <w:sz w:val="22"/>
          <w:lang w:val="en-GB"/>
        </w:rPr>
        <w:t xml:space="preserve">In </w:t>
      </w:r>
      <w:r w:rsidR="002C11C3">
        <w:rPr>
          <w:rFonts w:ascii="Times New Roman" w:hAnsi="Times New Roman" w:cs="Times New Roman"/>
          <w:b/>
          <w:sz w:val="22"/>
          <w:lang w:val="en-GB"/>
        </w:rPr>
        <w:t>L1 L2</w:t>
      </w:r>
      <w:r w:rsidR="00AA43E0">
        <w:rPr>
          <w:rFonts w:ascii="Times New Roman" w:hAnsi="Times New Roman" w:cs="Times New Roman"/>
          <w:b/>
          <w:sz w:val="22"/>
          <w:lang w:val="en-GB"/>
        </w:rPr>
        <w:t xml:space="preserve"> mobility, support b</w:t>
      </w:r>
      <w:r w:rsidR="00AA43E0" w:rsidRPr="00AA43E0">
        <w:rPr>
          <w:rFonts w:ascii="Times New Roman" w:hAnsi="Times New Roman" w:cs="Times New Roman"/>
          <w:b/>
          <w:sz w:val="22"/>
          <w:lang w:val="en-GB"/>
        </w:rPr>
        <w:t>oth RACH-based (CFRA, CBRA) and RACH-less procedure</w:t>
      </w:r>
      <w:r w:rsidR="00AA43E0">
        <w:rPr>
          <w:rFonts w:ascii="Times New Roman" w:hAnsi="Times New Roman" w:cs="Times New Roman"/>
          <w:b/>
          <w:sz w:val="22"/>
          <w:lang w:val="en-GB"/>
        </w:rPr>
        <w:t>s.</w:t>
      </w:r>
    </w:p>
    <w:p w14:paraId="238F785E" w14:textId="7B2DCE38" w:rsidR="006D4F68" w:rsidRDefault="002A03B3" w:rsidP="006D4F68">
      <w:pPr>
        <w:spacing w:after="240"/>
        <w:jc w:val="both"/>
        <w:rPr>
          <w:rFonts w:ascii="Times New Roman" w:hAnsi="Times New Roman" w:cs="Times New Roman"/>
          <w:b/>
          <w:sz w:val="22"/>
          <w:u w:val="single"/>
          <w:lang w:val="en-GB"/>
        </w:rPr>
      </w:pPr>
      <w:r>
        <w:rPr>
          <w:rFonts w:ascii="Times New Roman" w:hAnsi="Times New Roman" w:cs="Times New Roman"/>
          <w:b/>
          <w:sz w:val="22"/>
          <w:u w:val="single"/>
          <w:lang w:val="en-GB"/>
        </w:rPr>
        <w:t xml:space="preserve">Necessary information to initiate </w:t>
      </w:r>
      <w:r w:rsidR="002C11C3">
        <w:rPr>
          <w:rFonts w:ascii="Times New Roman" w:hAnsi="Times New Roman" w:cs="Times New Roman"/>
          <w:b/>
          <w:sz w:val="22"/>
          <w:u w:val="single"/>
          <w:lang w:val="en-GB"/>
        </w:rPr>
        <w:t>L1 L2</w:t>
      </w:r>
      <w:r w:rsidR="0013152C">
        <w:rPr>
          <w:rFonts w:ascii="Times New Roman" w:hAnsi="Times New Roman" w:cs="Times New Roman"/>
          <w:b/>
          <w:sz w:val="22"/>
          <w:u w:val="single"/>
          <w:lang w:val="en-GB"/>
        </w:rPr>
        <w:t xml:space="preserve"> </w:t>
      </w:r>
      <w:r w:rsidR="00304AA5">
        <w:rPr>
          <w:rFonts w:ascii="Times New Roman" w:hAnsi="Times New Roman" w:cs="Times New Roman"/>
          <w:b/>
          <w:sz w:val="22"/>
          <w:u w:val="single"/>
          <w:lang w:val="en-GB"/>
        </w:rPr>
        <w:t>mobility</w:t>
      </w:r>
    </w:p>
    <w:p w14:paraId="7A93C770" w14:textId="274D23EC" w:rsidR="000B30FE" w:rsidRDefault="000B30FE" w:rsidP="00D04B41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In order to initiate L1 L2 mobility for a UE to handover to a target Cell and activating additional SCells, the NW should provide necessary mobility information, in addition to Cell configurations, to the UE</w:t>
      </w:r>
      <w:r w:rsidR="009807B2">
        <w:rPr>
          <w:rFonts w:ascii="Times New Roman" w:hAnsi="Times New Roman" w:cs="Times New Roman"/>
          <w:sz w:val="22"/>
          <w:lang w:val="en-GB"/>
        </w:rPr>
        <w:t>:</w:t>
      </w:r>
    </w:p>
    <w:p w14:paraId="58303AD6" w14:textId="5B1D60CA" w:rsidR="009807B2" w:rsidRDefault="000B30FE" w:rsidP="008B0EB6">
      <w:pPr>
        <w:pStyle w:val="a4"/>
        <w:numPr>
          <w:ilvl w:val="0"/>
          <w:numId w:val="28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 w:rsidRPr="008B0EB6">
        <w:rPr>
          <w:rFonts w:ascii="Times New Roman" w:hAnsi="Times New Roman" w:cs="Times New Roman"/>
          <w:sz w:val="22"/>
          <w:lang w:val="en-GB"/>
        </w:rPr>
        <w:t>First of all, the</w:t>
      </w:r>
      <w:r w:rsidR="0014611E">
        <w:rPr>
          <w:rFonts w:ascii="Times New Roman" w:hAnsi="Times New Roman" w:cs="Times New Roman"/>
          <w:sz w:val="22"/>
          <w:lang w:val="en-GB"/>
        </w:rPr>
        <w:t xml:space="preserve"> NW</w:t>
      </w:r>
      <w:r w:rsidRPr="008B0EB6">
        <w:rPr>
          <w:rFonts w:ascii="Times New Roman" w:hAnsi="Times New Roman" w:cs="Times New Roman"/>
          <w:sz w:val="22"/>
          <w:lang w:val="en-GB"/>
        </w:rPr>
        <w:t xml:space="preserve"> should </w:t>
      </w:r>
      <w:r w:rsidR="002D4F4E" w:rsidRPr="008B0EB6">
        <w:rPr>
          <w:rFonts w:ascii="Times New Roman" w:hAnsi="Times New Roman" w:cs="Times New Roman"/>
          <w:sz w:val="22"/>
          <w:lang w:val="en-GB"/>
        </w:rPr>
        <w:t xml:space="preserve">indicate the cell(s) for the UE to change. For example, the information </w:t>
      </w:r>
      <w:r w:rsidRPr="008B0EB6">
        <w:rPr>
          <w:rFonts w:ascii="Times New Roman" w:hAnsi="Times New Roman" w:cs="Times New Roman"/>
          <w:sz w:val="22"/>
          <w:lang w:val="en-GB"/>
        </w:rPr>
        <w:t>contain</w:t>
      </w:r>
      <w:r w:rsidR="002D4F4E" w:rsidRPr="008B0EB6">
        <w:rPr>
          <w:rFonts w:ascii="Times New Roman" w:hAnsi="Times New Roman" w:cs="Times New Roman"/>
          <w:sz w:val="22"/>
          <w:lang w:val="en-GB"/>
        </w:rPr>
        <w:t>s</w:t>
      </w:r>
      <w:r w:rsidRPr="008B0EB6">
        <w:rPr>
          <w:rFonts w:ascii="Times New Roman" w:hAnsi="Times New Roman" w:cs="Times New Roman"/>
          <w:sz w:val="22"/>
          <w:lang w:val="en-GB"/>
        </w:rPr>
        <w:t xml:space="preserve"> identities or indexes </w:t>
      </w:r>
      <w:r w:rsidR="009807B2" w:rsidRPr="008B0EB6">
        <w:rPr>
          <w:rFonts w:ascii="Times New Roman" w:hAnsi="Times New Roman" w:cs="Times New Roman"/>
          <w:sz w:val="22"/>
          <w:lang w:val="en-GB"/>
        </w:rPr>
        <w:t>to identify</w:t>
      </w:r>
      <w:r w:rsidRPr="008B0EB6">
        <w:rPr>
          <w:rFonts w:ascii="Times New Roman" w:hAnsi="Times New Roman" w:cs="Times New Roman"/>
          <w:sz w:val="22"/>
          <w:lang w:val="en-GB"/>
        </w:rPr>
        <w:t xml:space="preserve"> Cell(s) to which the UE initiates L1 L2 mobility, which </w:t>
      </w:r>
      <w:r w:rsidR="009807B2" w:rsidRPr="008B0EB6">
        <w:rPr>
          <w:rFonts w:ascii="Times New Roman" w:hAnsi="Times New Roman" w:cs="Times New Roman"/>
          <w:sz w:val="22"/>
          <w:lang w:val="en-GB"/>
        </w:rPr>
        <w:t>identifies at least</w:t>
      </w:r>
      <w:r w:rsidRPr="008B0EB6">
        <w:rPr>
          <w:rFonts w:ascii="Times New Roman" w:hAnsi="Times New Roman" w:cs="Times New Roman"/>
          <w:sz w:val="22"/>
          <w:lang w:val="en-GB"/>
        </w:rPr>
        <w:t xml:space="preserve"> target </w:t>
      </w:r>
      <w:r w:rsidR="009807B2" w:rsidRPr="008B0EB6">
        <w:rPr>
          <w:rFonts w:ascii="Times New Roman" w:hAnsi="Times New Roman" w:cs="Times New Roman"/>
          <w:sz w:val="22"/>
          <w:lang w:val="en-GB"/>
        </w:rPr>
        <w:t>P</w:t>
      </w:r>
      <w:r w:rsidRPr="008B0EB6">
        <w:rPr>
          <w:rFonts w:ascii="Times New Roman" w:hAnsi="Times New Roman" w:cs="Times New Roman"/>
          <w:sz w:val="22"/>
          <w:lang w:val="en-GB"/>
        </w:rPr>
        <w:t>Cell</w:t>
      </w:r>
      <w:r w:rsidR="002D4F4E" w:rsidRPr="008B0EB6">
        <w:rPr>
          <w:rFonts w:ascii="Times New Roman" w:hAnsi="Times New Roman" w:cs="Times New Roman"/>
          <w:sz w:val="22"/>
          <w:lang w:val="en-GB"/>
        </w:rPr>
        <w:t xml:space="preserve"> and possibl</w:t>
      </w:r>
      <w:r w:rsidRPr="008B0EB6">
        <w:rPr>
          <w:rFonts w:ascii="Times New Roman" w:hAnsi="Times New Roman" w:cs="Times New Roman"/>
          <w:sz w:val="22"/>
          <w:lang w:val="en-GB"/>
        </w:rPr>
        <w:t>y SCell</w:t>
      </w:r>
      <w:r w:rsidR="009807B2" w:rsidRPr="008B0EB6">
        <w:rPr>
          <w:rFonts w:ascii="Times New Roman" w:hAnsi="Times New Roman" w:cs="Times New Roman"/>
          <w:sz w:val="22"/>
          <w:lang w:val="en-GB"/>
        </w:rPr>
        <w:t>s</w:t>
      </w:r>
      <w:r w:rsidRPr="008B0EB6">
        <w:rPr>
          <w:rFonts w:ascii="Times New Roman" w:hAnsi="Times New Roman" w:cs="Times New Roman"/>
          <w:sz w:val="22"/>
          <w:lang w:val="en-GB"/>
        </w:rPr>
        <w:t xml:space="preserve">. </w:t>
      </w:r>
    </w:p>
    <w:p w14:paraId="5C7E6D9B" w14:textId="4971D340" w:rsidR="0014611E" w:rsidRDefault="002D4F4E" w:rsidP="008B0EB6">
      <w:pPr>
        <w:pStyle w:val="a4"/>
        <w:numPr>
          <w:ilvl w:val="0"/>
          <w:numId w:val="28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 w:rsidRPr="00746FA7">
        <w:rPr>
          <w:rFonts w:ascii="Times New Roman" w:hAnsi="Times New Roman" w:cs="Times New Roman"/>
          <w:sz w:val="22"/>
          <w:lang w:val="en-GB"/>
        </w:rPr>
        <w:t xml:space="preserve">Second, if </w:t>
      </w:r>
      <w:r w:rsidR="009807B2">
        <w:rPr>
          <w:rFonts w:ascii="Times New Roman" w:hAnsi="Times New Roman" w:cs="Times New Roman"/>
          <w:sz w:val="22"/>
          <w:lang w:val="en-GB"/>
        </w:rPr>
        <w:t xml:space="preserve">contention-free </w:t>
      </w:r>
      <w:r w:rsidRPr="00746FA7">
        <w:rPr>
          <w:rFonts w:ascii="Times New Roman" w:hAnsi="Times New Roman" w:cs="Times New Roman"/>
          <w:sz w:val="22"/>
          <w:lang w:val="en-GB"/>
        </w:rPr>
        <w:t xml:space="preserve">random access procedure is used in L1 L2 mobility, the </w:t>
      </w:r>
      <w:r w:rsidR="0014611E">
        <w:rPr>
          <w:rFonts w:ascii="Times New Roman" w:hAnsi="Times New Roman" w:cs="Times New Roman"/>
          <w:sz w:val="22"/>
          <w:lang w:val="en-GB"/>
        </w:rPr>
        <w:t>NW</w:t>
      </w:r>
      <w:r w:rsidRPr="00746FA7">
        <w:rPr>
          <w:rFonts w:ascii="Times New Roman" w:hAnsi="Times New Roman" w:cs="Times New Roman"/>
          <w:sz w:val="22"/>
          <w:lang w:val="en-GB"/>
        </w:rPr>
        <w:t xml:space="preserve"> should</w:t>
      </w:r>
      <w:r w:rsidR="00090357" w:rsidRPr="00746FA7">
        <w:rPr>
          <w:rFonts w:ascii="Times New Roman" w:hAnsi="Times New Roman" w:cs="Times New Roman"/>
          <w:sz w:val="22"/>
          <w:lang w:val="en-GB"/>
        </w:rPr>
        <w:t xml:space="preserve"> </w:t>
      </w:r>
      <w:r w:rsidR="0014611E">
        <w:rPr>
          <w:rFonts w:ascii="Times New Roman" w:hAnsi="Times New Roman" w:cs="Times New Roman"/>
          <w:sz w:val="22"/>
          <w:lang w:val="en-GB"/>
        </w:rPr>
        <w:t>provide</w:t>
      </w:r>
      <w:r w:rsidR="00090357" w:rsidRPr="00746FA7">
        <w:rPr>
          <w:rFonts w:ascii="Times New Roman" w:hAnsi="Times New Roman" w:cs="Times New Roman"/>
          <w:sz w:val="22"/>
          <w:lang w:val="en-GB"/>
        </w:rPr>
        <w:t xml:space="preserve"> dedicated random access resources (e.g. SSB-index </w:t>
      </w:r>
      <w:r w:rsidR="009807B2">
        <w:rPr>
          <w:rFonts w:ascii="Times New Roman" w:hAnsi="Times New Roman" w:cs="Times New Roman"/>
          <w:sz w:val="22"/>
          <w:lang w:val="en-GB"/>
        </w:rPr>
        <w:t>and/</w:t>
      </w:r>
      <w:r w:rsidR="00090357" w:rsidRPr="00746FA7">
        <w:rPr>
          <w:rFonts w:ascii="Times New Roman" w:hAnsi="Times New Roman" w:cs="Times New Roman"/>
          <w:sz w:val="22"/>
          <w:lang w:val="en-GB"/>
        </w:rPr>
        <w:t xml:space="preserve">or preamble index). </w:t>
      </w:r>
    </w:p>
    <w:p w14:paraId="1DA230E3" w14:textId="7DDF2E7F" w:rsidR="002D4F4E" w:rsidRPr="00746FA7" w:rsidRDefault="00090357" w:rsidP="008B0EB6">
      <w:pPr>
        <w:pStyle w:val="a4"/>
        <w:numPr>
          <w:ilvl w:val="0"/>
          <w:numId w:val="28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 w:rsidRPr="00746FA7">
        <w:rPr>
          <w:rFonts w:ascii="Times New Roman" w:hAnsi="Times New Roman" w:cs="Times New Roman"/>
          <w:sz w:val="22"/>
          <w:lang w:val="en-GB"/>
        </w:rPr>
        <w:t xml:space="preserve">On the other hand, if </w:t>
      </w:r>
      <w:r w:rsidR="0014611E">
        <w:rPr>
          <w:rFonts w:ascii="Times New Roman" w:hAnsi="Times New Roman" w:cs="Times New Roman"/>
          <w:sz w:val="22"/>
          <w:lang w:val="en-GB"/>
        </w:rPr>
        <w:t xml:space="preserve">RACH-less is supported for </w:t>
      </w:r>
      <w:r w:rsidR="0014611E" w:rsidRPr="00DE3CEC">
        <w:rPr>
          <w:rFonts w:ascii="Times New Roman" w:hAnsi="Times New Roman" w:cs="Times New Roman"/>
          <w:sz w:val="22"/>
          <w:lang w:val="en-GB"/>
        </w:rPr>
        <w:t>L1 L2 mobility</w:t>
      </w:r>
      <w:r w:rsidR="0014611E">
        <w:rPr>
          <w:rFonts w:ascii="Times New Roman" w:hAnsi="Times New Roman" w:cs="Times New Roman"/>
          <w:sz w:val="22"/>
          <w:lang w:val="en-GB"/>
        </w:rPr>
        <w:t>, the NW should indicate whether</w:t>
      </w:r>
      <w:r w:rsidR="0014611E" w:rsidRPr="0014611E">
        <w:rPr>
          <w:rFonts w:ascii="Times New Roman" w:hAnsi="Times New Roman" w:cs="Times New Roman"/>
          <w:sz w:val="22"/>
          <w:lang w:val="en-GB"/>
        </w:rPr>
        <w:t xml:space="preserve"> </w:t>
      </w:r>
      <w:r w:rsidRPr="00746FA7">
        <w:rPr>
          <w:rFonts w:ascii="Times New Roman" w:hAnsi="Times New Roman" w:cs="Times New Roman"/>
          <w:sz w:val="22"/>
          <w:lang w:val="en-GB"/>
        </w:rPr>
        <w:t>random access procedure can be omitted</w:t>
      </w:r>
      <w:r w:rsidR="0014611E">
        <w:rPr>
          <w:rFonts w:ascii="Times New Roman" w:hAnsi="Times New Roman" w:cs="Times New Roman"/>
          <w:sz w:val="22"/>
          <w:lang w:val="en-GB"/>
        </w:rPr>
        <w:t>.</w:t>
      </w:r>
      <w:r w:rsidRPr="00746FA7">
        <w:rPr>
          <w:rFonts w:ascii="Times New Roman" w:hAnsi="Times New Roman" w:cs="Times New Roman"/>
          <w:sz w:val="22"/>
          <w:lang w:val="en-GB"/>
        </w:rPr>
        <w:t xml:space="preserve"> </w:t>
      </w:r>
      <w:r w:rsidR="0014611E">
        <w:rPr>
          <w:rFonts w:ascii="Times New Roman" w:hAnsi="Times New Roman" w:cs="Times New Roman"/>
          <w:sz w:val="22"/>
          <w:lang w:val="en-GB"/>
        </w:rPr>
        <w:t xml:space="preserve">And </w:t>
      </w:r>
      <w:r w:rsidRPr="00746FA7">
        <w:rPr>
          <w:rFonts w:ascii="Times New Roman" w:hAnsi="Times New Roman" w:cs="Times New Roman"/>
          <w:sz w:val="22"/>
          <w:lang w:val="en-GB"/>
        </w:rPr>
        <w:t>the NW can provide TA (e.g. N</w:t>
      </w:r>
      <w:r w:rsidRPr="00746FA7">
        <w:rPr>
          <w:rFonts w:ascii="Times New Roman" w:hAnsi="Times New Roman" w:cs="Times New Roman"/>
          <w:sz w:val="22"/>
          <w:vertAlign w:val="subscript"/>
          <w:lang w:val="en-GB"/>
        </w:rPr>
        <w:t>TA</w:t>
      </w:r>
      <w:r w:rsidRPr="00746FA7">
        <w:rPr>
          <w:rFonts w:ascii="Times New Roman" w:hAnsi="Times New Roman" w:cs="Times New Roman"/>
          <w:sz w:val="22"/>
          <w:lang w:val="en-GB"/>
        </w:rPr>
        <w:t>, or reference Cell index for applying the TA) of the target Cell(s)</w:t>
      </w:r>
      <w:r w:rsidR="0014611E" w:rsidRPr="0014611E">
        <w:rPr>
          <w:rFonts w:ascii="Times New Roman" w:hAnsi="Times New Roman" w:cs="Times New Roman"/>
          <w:sz w:val="22"/>
          <w:lang w:val="en-GB"/>
        </w:rPr>
        <w:t xml:space="preserve"> </w:t>
      </w:r>
      <w:r w:rsidR="0014611E">
        <w:rPr>
          <w:rFonts w:ascii="Times New Roman" w:hAnsi="Times New Roman" w:cs="Times New Roman"/>
          <w:sz w:val="22"/>
          <w:lang w:val="en-GB"/>
        </w:rPr>
        <w:t xml:space="preserve">and </w:t>
      </w:r>
      <w:r w:rsidR="0014611E" w:rsidRPr="00DE3CEC">
        <w:rPr>
          <w:rFonts w:ascii="Times New Roman" w:hAnsi="Times New Roman" w:cs="Times New Roman"/>
          <w:sz w:val="22"/>
          <w:lang w:val="en-GB"/>
        </w:rPr>
        <w:t>indicate TCI state(s) to be activated during/after serving cell changes</w:t>
      </w:r>
      <w:r w:rsidRPr="00746FA7">
        <w:rPr>
          <w:rFonts w:ascii="Times New Roman" w:hAnsi="Times New Roman" w:cs="Times New Roman"/>
          <w:sz w:val="22"/>
          <w:lang w:val="en-GB"/>
        </w:rPr>
        <w:t>. The UE can apply the TA in the signalling and does not need to initiate a random access procedure to the target Cell.</w:t>
      </w:r>
    </w:p>
    <w:p w14:paraId="182114F3" w14:textId="6044CA3F" w:rsidR="009F2A52" w:rsidRPr="00746FA7" w:rsidRDefault="00F3551C" w:rsidP="00746FA7">
      <w:pPr>
        <w:pStyle w:val="a4"/>
        <w:numPr>
          <w:ilvl w:val="0"/>
          <w:numId w:val="29"/>
        </w:numPr>
        <w:spacing w:after="240"/>
        <w:ind w:leftChars="0"/>
        <w:jc w:val="both"/>
        <w:rPr>
          <w:rFonts w:ascii="Times New Roman" w:hAnsi="Times New Roman" w:cs="Times New Roman"/>
          <w:sz w:val="22"/>
          <w:lang w:val="en-GB"/>
        </w:rPr>
      </w:pPr>
      <w:r w:rsidRPr="00746FA7">
        <w:rPr>
          <w:rFonts w:ascii="Times New Roman" w:hAnsi="Times New Roman" w:cs="Times New Roman"/>
          <w:sz w:val="22"/>
          <w:lang w:val="en-GB"/>
        </w:rPr>
        <w:t>Furthermore</w:t>
      </w:r>
      <w:r w:rsidR="009F2A52" w:rsidRPr="00746FA7">
        <w:rPr>
          <w:rFonts w:ascii="Times New Roman" w:hAnsi="Times New Roman" w:cs="Times New Roman"/>
          <w:sz w:val="22"/>
          <w:lang w:val="en-GB"/>
        </w:rPr>
        <w:t xml:space="preserve">, the </w:t>
      </w:r>
      <w:r w:rsidR="00974DC0">
        <w:rPr>
          <w:rFonts w:ascii="Times New Roman" w:hAnsi="Times New Roman" w:cs="Times New Roman"/>
          <w:sz w:val="22"/>
          <w:lang w:val="en-GB"/>
        </w:rPr>
        <w:t>NW</w:t>
      </w:r>
      <w:r w:rsidR="009F2A52" w:rsidRPr="00746FA7">
        <w:rPr>
          <w:rFonts w:ascii="Times New Roman" w:hAnsi="Times New Roman" w:cs="Times New Roman"/>
          <w:sz w:val="22"/>
          <w:lang w:val="en-GB"/>
        </w:rPr>
        <w:t xml:space="preserve"> can indicate whether reset MAC entity or </w:t>
      </w:r>
      <w:r w:rsidR="00974DC0">
        <w:rPr>
          <w:rFonts w:ascii="Times New Roman" w:hAnsi="Times New Roman" w:cs="Times New Roman"/>
          <w:sz w:val="22"/>
          <w:lang w:val="en-GB"/>
        </w:rPr>
        <w:t xml:space="preserve">re-establish </w:t>
      </w:r>
      <w:r w:rsidR="009F2A52" w:rsidRPr="00746FA7">
        <w:rPr>
          <w:rFonts w:ascii="Times New Roman" w:hAnsi="Times New Roman" w:cs="Times New Roman"/>
          <w:sz w:val="22"/>
          <w:lang w:val="en-GB"/>
        </w:rPr>
        <w:t>RLC</w:t>
      </w:r>
      <w:r w:rsidR="00974DC0">
        <w:rPr>
          <w:rFonts w:ascii="Times New Roman" w:hAnsi="Times New Roman" w:cs="Times New Roman"/>
          <w:sz w:val="22"/>
          <w:lang w:val="en-GB"/>
        </w:rPr>
        <w:t>/PDCP</w:t>
      </w:r>
      <w:r w:rsidR="009F2A52" w:rsidRPr="00746FA7">
        <w:rPr>
          <w:rFonts w:ascii="Times New Roman" w:hAnsi="Times New Roman" w:cs="Times New Roman"/>
          <w:sz w:val="22"/>
          <w:lang w:val="en-GB"/>
        </w:rPr>
        <w:t xml:space="preserve"> is required for the L1 L2 mobility. In some scenarios (e.g. intra-DU), such steps may not be needed and the UE can skip </w:t>
      </w:r>
      <w:r w:rsidRPr="00746FA7">
        <w:rPr>
          <w:rFonts w:ascii="Times New Roman" w:hAnsi="Times New Roman" w:cs="Times New Roman"/>
          <w:sz w:val="22"/>
          <w:lang w:val="en-GB"/>
        </w:rPr>
        <w:t xml:space="preserve">those steps for latency reduction. </w:t>
      </w:r>
    </w:p>
    <w:p w14:paraId="7B9767B9" w14:textId="3EE75F7D" w:rsidR="00C42AE5" w:rsidRDefault="00C42AE5" w:rsidP="00C42AE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 xml:space="preserve">Proposal </w:t>
      </w:r>
      <w:r w:rsidR="00D312E2">
        <w:rPr>
          <w:rFonts w:ascii="Times New Roman" w:hAnsi="Times New Roman" w:cs="Times New Roman"/>
          <w:b/>
          <w:sz w:val="22"/>
          <w:lang w:val="en-GB"/>
        </w:rPr>
        <w:t>3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C0710A">
        <w:rPr>
          <w:rFonts w:ascii="Times New Roman" w:hAnsi="Times New Roman" w:cs="Times New Roman"/>
          <w:b/>
          <w:sz w:val="22"/>
          <w:lang w:val="en-GB"/>
        </w:rPr>
        <w:t xml:space="preserve">For </w:t>
      </w:r>
      <w:r w:rsidR="002C11C3">
        <w:rPr>
          <w:rFonts w:ascii="Times New Roman" w:hAnsi="Times New Roman" w:cs="Times New Roman"/>
          <w:b/>
          <w:sz w:val="22"/>
          <w:lang w:val="en-GB"/>
        </w:rPr>
        <w:t>L1 L2</w:t>
      </w:r>
      <w:r w:rsidR="00304AA5">
        <w:rPr>
          <w:rFonts w:ascii="Times New Roman" w:hAnsi="Times New Roman" w:cs="Times New Roman"/>
          <w:b/>
          <w:sz w:val="22"/>
          <w:lang w:val="en-GB"/>
        </w:rPr>
        <w:t xml:space="preserve"> mobility</w:t>
      </w:r>
      <w:r w:rsidR="00C0710A">
        <w:rPr>
          <w:rFonts w:ascii="Times New Roman" w:hAnsi="Times New Roman" w:cs="Times New Roman"/>
          <w:b/>
          <w:sz w:val="22"/>
          <w:lang w:val="en-GB"/>
        </w:rPr>
        <w:t>, source gNB</w:t>
      </w:r>
      <w:r w:rsidR="00304AA5">
        <w:rPr>
          <w:rFonts w:ascii="Times New Roman" w:hAnsi="Times New Roman" w:cs="Times New Roman"/>
          <w:b/>
          <w:sz w:val="22"/>
          <w:lang w:val="en-GB"/>
        </w:rPr>
        <w:t xml:space="preserve"> should </w:t>
      </w:r>
      <w:r w:rsidR="00C0710A">
        <w:rPr>
          <w:rFonts w:ascii="Times New Roman" w:hAnsi="Times New Roman" w:cs="Times New Roman"/>
          <w:b/>
          <w:sz w:val="22"/>
          <w:lang w:val="en-GB"/>
        </w:rPr>
        <w:t>provide</w:t>
      </w:r>
      <w:r w:rsidR="009B0D91">
        <w:rPr>
          <w:rFonts w:ascii="Times New Roman" w:hAnsi="Times New Roman" w:cs="Times New Roman"/>
          <w:b/>
          <w:sz w:val="22"/>
          <w:lang w:val="en-GB"/>
        </w:rPr>
        <w:t xml:space="preserve"> following information:</w:t>
      </w:r>
    </w:p>
    <w:p w14:paraId="0FB2834C" w14:textId="2457BF0F" w:rsidR="00304AA5" w:rsidRDefault="00304AA5" w:rsidP="00C42AE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ab/>
        <w:t>- Cell(s) to change</w:t>
      </w:r>
      <w:r w:rsidR="006E1B3F">
        <w:rPr>
          <w:rFonts w:ascii="Times New Roman" w:hAnsi="Times New Roman" w:cs="Times New Roman"/>
          <w:b/>
          <w:sz w:val="22"/>
          <w:lang w:val="en-GB"/>
        </w:rPr>
        <w:t>, including target PCell and SCell(s)</w:t>
      </w:r>
      <w:r w:rsidR="00F3551C">
        <w:rPr>
          <w:rFonts w:ascii="Times New Roman" w:hAnsi="Times New Roman" w:cs="Times New Roman"/>
          <w:b/>
          <w:sz w:val="22"/>
          <w:lang w:val="en-GB"/>
        </w:rPr>
        <w:t xml:space="preserve"> in MCG/SCG.</w:t>
      </w:r>
    </w:p>
    <w:p w14:paraId="2BA8C3A6" w14:textId="259479D2" w:rsidR="00304AA5" w:rsidRDefault="00304AA5" w:rsidP="00304AA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ab/>
        <w:t>- beam(s) or TCI state(s) to activate for the Cell(s)</w:t>
      </w:r>
    </w:p>
    <w:p w14:paraId="58DE7ED2" w14:textId="2A72BEB4" w:rsidR="00974DC0" w:rsidRDefault="00974DC0" w:rsidP="00974DC0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ab/>
        <w:t>- For CFRA, dedicated random access resources</w:t>
      </w:r>
    </w:p>
    <w:p w14:paraId="0466932C" w14:textId="3C366855" w:rsidR="00304AA5" w:rsidRDefault="00304AA5" w:rsidP="00304AA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ab/>
        <w:t xml:space="preserve">- </w:t>
      </w:r>
      <w:r w:rsidR="00974DC0">
        <w:rPr>
          <w:rFonts w:ascii="Times New Roman" w:hAnsi="Times New Roman" w:cs="Times New Roman"/>
          <w:b/>
          <w:sz w:val="22"/>
          <w:lang w:val="en-GB"/>
        </w:rPr>
        <w:t xml:space="preserve">For RACH-less, </w:t>
      </w:r>
      <w:r w:rsidR="002D4F4E">
        <w:rPr>
          <w:rFonts w:ascii="Times New Roman" w:hAnsi="Times New Roman" w:cs="Times New Roman"/>
          <w:b/>
          <w:sz w:val="22"/>
          <w:lang w:val="en-GB"/>
        </w:rPr>
        <w:t>TA for target PCell and SCell(s)</w:t>
      </w:r>
      <w:r w:rsidR="00974DC0" w:rsidRPr="00974DC0"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974DC0">
        <w:rPr>
          <w:rFonts w:ascii="Times New Roman" w:hAnsi="Times New Roman" w:cs="Times New Roman"/>
          <w:b/>
          <w:sz w:val="22"/>
          <w:lang w:val="en-GB"/>
        </w:rPr>
        <w:t>and beam(s) to be activated for the Cell(s)</w:t>
      </w:r>
    </w:p>
    <w:p w14:paraId="20317BE7" w14:textId="5DBCB6AE" w:rsidR="00304AA5" w:rsidRDefault="00304AA5" w:rsidP="00304AA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ab/>
        <w:t xml:space="preserve">- </w:t>
      </w:r>
      <w:r w:rsidR="00BC0B48">
        <w:rPr>
          <w:rFonts w:ascii="Times New Roman" w:hAnsi="Times New Roman" w:cs="Times New Roman"/>
          <w:b/>
          <w:sz w:val="22"/>
          <w:lang w:val="en-GB"/>
        </w:rPr>
        <w:t xml:space="preserve">indication on </w:t>
      </w:r>
      <w:r>
        <w:rPr>
          <w:rFonts w:ascii="Times New Roman" w:hAnsi="Times New Roman" w:cs="Times New Roman"/>
          <w:b/>
          <w:sz w:val="22"/>
          <w:lang w:val="en-GB"/>
        </w:rPr>
        <w:t>whether to reset MAC</w:t>
      </w:r>
      <w:r w:rsidR="00BC0B48">
        <w:rPr>
          <w:rFonts w:ascii="Times New Roman" w:hAnsi="Times New Roman" w:cs="Times New Roman"/>
          <w:b/>
          <w:sz w:val="22"/>
          <w:lang w:val="en-GB"/>
        </w:rPr>
        <w:t xml:space="preserve"> or re-establish RLC</w:t>
      </w:r>
      <w:r w:rsidR="00974DC0">
        <w:rPr>
          <w:rFonts w:ascii="Times New Roman" w:hAnsi="Times New Roman" w:cs="Times New Roman"/>
          <w:b/>
          <w:sz w:val="22"/>
          <w:lang w:val="en-GB"/>
        </w:rPr>
        <w:t>/PDCP</w:t>
      </w:r>
    </w:p>
    <w:p w14:paraId="304B6A79" w14:textId="702EBBDB" w:rsidR="004E5A44" w:rsidRDefault="00C0710A" w:rsidP="004E5A44">
      <w:pPr>
        <w:spacing w:after="240"/>
        <w:jc w:val="both"/>
        <w:rPr>
          <w:rFonts w:ascii="Times New Roman" w:hAnsi="Times New Roman" w:cs="Times New Roman"/>
          <w:sz w:val="22"/>
          <w:lang w:val="en-GB"/>
        </w:rPr>
      </w:pPr>
      <w:r>
        <w:rPr>
          <w:rFonts w:ascii="Times New Roman" w:hAnsi="Times New Roman" w:cs="Times New Roman"/>
          <w:sz w:val="22"/>
          <w:lang w:val="en-GB"/>
        </w:rPr>
        <w:t>Furthermore</w:t>
      </w:r>
      <w:r w:rsidR="004E5A44">
        <w:rPr>
          <w:rFonts w:ascii="Times New Roman" w:hAnsi="Times New Roman" w:cs="Times New Roman"/>
          <w:sz w:val="22"/>
          <w:lang w:val="en-GB"/>
        </w:rPr>
        <w:t xml:space="preserve">, </w:t>
      </w:r>
      <w:r>
        <w:rPr>
          <w:rFonts w:ascii="Times New Roman" w:hAnsi="Times New Roman" w:cs="Times New Roman"/>
          <w:sz w:val="22"/>
          <w:lang w:val="en-GB"/>
        </w:rPr>
        <w:t xml:space="preserve">since the L1 L2 mobility model contains configuration via RRC signalling (e.g. used to pre-configure cell and beam configuration) and initiation of the procedure via L1/L2 signaling, </w:t>
      </w:r>
      <w:r w:rsidR="003A1688">
        <w:rPr>
          <w:rFonts w:ascii="Times New Roman" w:hAnsi="Times New Roman" w:cs="Times New Roman"/>
          <w:sz w:val="22"/>
          <w:lang w:val="en-GB"/>
        </w:rPr>
        <w:t xml:space="preserve">we should further decide each of </w:t>
      </w:r>
      <w:r w:rsidR="004E5A44">
        <w:rPr>
          <w:rFonts w:ascii="Times New Roman" w:hAnsi="Times New Roman" w:cs="Times New Roman"/>
          <w:sz w:val="22"/>
          <w:lang w:val="en-GB"/>
        </w:rPr>
        <w:t xml:space="preserve">information above </w:t>
      </w:r>
      <w:r w:rsidR="003A1688">
        <w:rPr>
          <w:rFonts w:ascii="Times New Roman" w:hAnsi="Times New Roman" w:cs="Times New Roman"/>
          <w:sz w:val="22"/>
          <w:lang w:val="en-GB"/>
        </w:rPr>
        <w:t>to</w:t>
      </w:r>
      <w:r w:rsidR="004E5A44">
        <w:rPr>
          <w:rFonts w:ascii="Times New Roman" w:hAnsi="Times New Roman" w:cs="Times New Roman"/>
          <w:sz w:val="22"/>
          <w:lang w:val="en-GB"/>
        </w:rPr>
        <w:t xml:space="preserve"> be carried in </w:t>
      </w:r>
      <w:r>
        <w:rPr>
          <w:rFonts w:ascii="Times New Roman" w:hAnsi="Times New Roman" w:cs="Times New Roman"/>
          <w:sz w:val="22"/>
          <w:lang w:val="en-GB"/>
        </w:rPr>
        <w:t>either RRC signalling</w:t>
      </w:r>
      <w:r w:rsidR="004E5A44">
        <w:rPr>
          <w:rFonts w:ascii="Times New Roman" w:hAnsi="Times New Roman" w:cs="Times New Roman"/>
          <w:sz w:val="22"/>
          <w:lang w:val="en-GB"/>
        </w:rPr>
        <w:t xml:space="preserve"> before initiation the L1 L2 mobility</w:t>
      </w:r>
      <w:r>
        <w:rPr>
          <w:rFonts w:ascii="Times New Roman" w:hAnsi="Times New Roman" w:cs="Times New Roman"/>
          <w:sz w:val="22"/>
          <w:lang w:val="en-GB"/>
        </w:rPr>
        <w:t xml:space="preserve"> or carried in L1/L2 signaling</w:t>
      </w:r>
      <w:r w:rsidR="004E5A44">
        <w:rPr>
          <w:rFonts w:ascii="Times New Roman" w:hAnsi="Times New Roman" w:cs="Times New Roman"/>
          <w:sz w:val="22"/>
          <w:lang w:val="en-GB"/>
        </w:rPr>
        <w:t xml:space="preserve">. For example, </w:t>
      </w:r>
      <w:r w:rsidR="003A1688">
        <w:rPr>
          <w:rFonts w:ascii="Times New Roman" w:hAnsi="Times New Roman" w:cs="Times New Roman"/>
          <w:sz w:val="22"/>
          <w:lang w:val="en-GB"/>
        </w:rPr>
        <w:t>it is straightforward that information for Cell(s) to change should be carried in the L1/L2 signaling</w:t>
      </w:r>
      <w:r w:rsidR="004E5A44">
        <w:rPr>
          <w:rFonts w:ascii="Times New Roman" w:hAnsi="Times New Roman" w:cs="Times New Roman"/>
          <w:sz w:val="22"/>
          <w:lang w:val="en-GB"/>
        </w:rPr>
        <w:t>. RAN2 can discuss detail on how</w:t>
      </w:r>
      <w:r w:rsidR="00B67F21">
        <w:rPr>
          <w:rFonts w:ascii="Times New Roman" w:hAnsi="Times New Roman" w:cs="Times New Roman"/>
          <w:sz w:val="22"/>
          <w:lang w:val="en-GB"/>
        </w:rPr>
        <w:t xml:space="preserve"> and where</w:t>
      </w:r>
      <w:r w:rsidR="004E5A44">
        <w:rPr>
          <w:rFonts w:ascii="Times New Roman" w:hAnsi="Times New Roman" w:cs="Times New Roman"/>
          <w:sz w:val="22"/>
          <w:lang w:val="en-GB"/>
        </w:rPr>
        <w:t xml:space="preserve"> to provide the</w:t>
      </w:r>
      <w:r w:rsidR="00B67F21">
        <w:rPr>
          <w:rFonts w:ascii="Times New Roman" w:hAnsi="Times New Roman" w:cs="Times New Roman"/>
          <w:sz w:val="22"/>
          <w:lang w:val="en-GB"/>
        </w:rPr>
        <w:t xml:space="preserve"> above</w:t>
      </w:r>
      <w:r w:rsidR="004E5A44">
        <w:rPr>
          <w:rFonts w:ascii="Times New Roman" w:hAnsi="Times New Roman" w:cs="Times New Roman"/>
          <w:sz w:val="22"/>
          <w:lang w:val="en-GB"/>
        </w:rPr>
        <w:t xml:space="preserve"> information in one or multiple messages.</w:t>
      </w:r>
    </w:p>
    <w:p w14:paraId="2322740A" w14:textId="4CF7110A" w:rsidR="00B67F21" w:rsidRDefault="00B67F21" w:rsidP="00304AA5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4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</w:r>
      <w:r w:rsidR="00BE5B13">
        <w:rPr>
          <w:rFonts w:ascii="Times New Roman" w:hAnsi="Times New Roman" w:cs="Times New Roman"/>
          <w:b/>
          <w:sz w:val="22"/>
          <w:lang w:val="en-GB"/>
        </w:rPr>
        <w:t xml:space="preserve">For information used to configure/initiate L1 L2 mobility, </w:t>
      </w:r>
      <w:r>
        <w:rPr>
          <w:rFonts w:ascii="Times New Roman" w:hAnsi="Times New Roman" w:cs="Times New Roman"/>
          <w:b/>
          <w:sz w:val="22"/>
          <w:lang w:val="en-GB"/>
        </w:rPr>
        <w:t xml:space="preserve">RAN2 discuss how to </w:t>
      </w:r>
      <w:r w:rsidR="00BE5B13">
        <w:rPr>
          <w:rFonts w:ascii="Times New Roman" w:hAnsi="Times New Roman" w:cs="Times New Roman"/>
          <w:b/>
          <w:sz w:val="22"/>
          <w:lang w:val="en-GB"/>
        </w:rPr>
        <w:t>provide</w:t>
      </w:r>
      <w:r>
        <w:rPr>
          <w:rFonts w:ascii="Times New Roman" w:hAnsi="Times New Roman" w:cs="Times New Roman"/>
          <w:b/>
          <w:sz w:val="22"/>
          <w:lang w:val="en-GB"/>
        </w:rPr>
        <w:t xml:space="preserve"> </w:t>
      </w:r>
      <w:r w:rsidR="00BE5B13">
        <w:rPr>
          <w:rFonts w:ascii="Times New Roman" w:hAnsi="Times New Roman" w:cs="Times New Roman"/>
          <w:b/>
          <w:sz w:val="22"/>
          <w:lang w:val="en-GB"/>
        </w:rPr>
        <w:t xml:space="preserve">the </w:t>
      </w:r>
      <w:r>
        <w:rPr>
          <w:rFonts w:ascii="Times New Roman" w:hAnsi="Times New Roman" w:cs="Times New Roman"/>
          <w:b/>
          <w:sz w:val="22"/>
          <w:lang w:val="en-GB"/>
        </w:rPr>
        <w:t>information</w:t>
      </w:r>
      <w:r w:rsidR="00BE5B13">
        <w:rPr>
          <w:rFonts w:ascii="Times New Roman" w:hAnsi="Times New Roman" w:cs="Times New Roman"/>
          <w:b/>
          <w:sz w:val="22"/>
          <w:lang w:val="en-GB"/>
        </w:rPr>
        <w:t xml:space="preserve"> to the UE</w:t>
      </w:r>
      <w:r>
        <w:rPr>
          <w:rFonts w:ascii="Times New Roman" w:hAnsi="Times New Roman" w:cs="Times New Roman"/>
          <w:b/>
          <w:sz w:val="22"/>
          <w:lang w:val="en-GB"/>
        </w:rPr>
        <w:t xml:space="preserve"> (e.g. via RRC signalling or via L1/L2 signaling).</w:t>
      </w:r>
    </w:p>
    <w:p w14:paraId="4009D096" w14:textId="7777777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Conclusion</w:t>
      </w:r>
    </w:p>
    <w:p w14:paraId="5393E65A" w14:textId="4BE9C4E2" w:rsidR="00DC4E26" w:rsidRDefault="00B2547B" w:rsidP="00FC5609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W</w:t>
      </w:r>
      <w:r w:rsidR="001B65B3">
        <w:rPr>
          <w:rFonts w:ascii="Times New Roman" w:hAnsi="Times New Roman" w:cs="Times New Roman"/>
          <w:sz w:val="22"/>
        </w:rPr>
        <w:t xml:space="preserve">e have the following </w:t>
      </w:r>
      <w:r w:rsidR="00D662B8">
        <w:rPr>
          <w:rFonts w:ascii="Times New Roman" w:hAnsi="Times New Roman" w:cs="Times New Roman"/>
          <w:sz w:val="22"/>
        </w:rPr>
        <w:t>proposal</w:t>
      </w:r>
      <w:r w:rsidR="009B099C">
        <w:rPr>
          <w:rFonts w:ascii="Times New Roman" w:hAnsi="Times New Roman" w:cs="Times New Roman"/>
          <w:sz w:val="22"/>
        </w:rPr>
        <w:t>s</w:t>
      </w:r>
      <w:r w:rsidR="00D662B8">
        <w:rPr>
          <w:rFonts w:ascii="Times New Roman" w:hAnsi="Times New Roman" w:cs="Times New Roman"/>
          <w:sz w:val="22"/>
        </w:rPr>
        <w:t xml:space="preserve"> for</w:t>
      </w:r>
      <w:r w:rsidR="00781E50">
        <w:rPr>
          <w:rFonts w:ascii="Times New Roman" w:hAnsi="Times New Roman" w:cs="Times New Roman"/>
          <w:sz w:val="22"/>
        </w:rPr>
        <w:t xml:space="preserve"> </w:t>
      </w:r>
      <w:r w:rsidR="00650D57">
        <w:rPr>
          <w:rFonts w:ascii="Times New Roman" w:hAnsi="Times New Roman" w:cs="Times New Roman"/>
          <w:sz w:val="22"/>
        </w:rPr>
        <w:t xml:space="preserve">solutions for </w:t>
      </w:r>
      <w:r w:rsidR="002C11C3">
        <w:rPr>
          <w:rFonts w:ascii="Times New Roman" w:hAnsi="Times New Roman" w:cs="Times New Roman"/>
          <w:sz w:val="22"/>
        </w:rPr>
        <w:t>L1 L2</w:t>
      </w:r>
      <w:r w:rsidR="00650D57">
        <w:rPr>
          <w:rFonts w:ascii="Times New Roman" w:hAnsi="Times New Roman" w:cs="Times New Roman"/>
          <w:sz w:val="22"/>
        </w:rPr>
        <w:t xml:space="preserve"> mobility</w:t>
      </w:r>
      <w:r w:rsidR="001B65B3">
        <w:rPr>
          <w:rFonts w:ascii="Times New Roman" w:hAnsi="Times New Roman" w:cs="Times New Roman"/>
          <w:sz w:val="22"/>
        </w:rPr>
        <w:t>:</w:t>
      </w:r>
    </w:p>
    <w:p w14:paraId="38A007F7" w14:textId="77777777" w:rsidR="00BF6F2A" w:rsidRDefault="00BF6F2A" w:rsidP="00BF6F2A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1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L1 L2 mobility model for PCell/SCell agreed in Rel-17 feMIMO work item should be considered as baseline for candidate solutions:</w:t>
      </w:r>
    </w:p>
    <w:p w14:paraId="6E5E4EDE" w14:textId="77777777" w:rsidR="00BF6F2A" w:rsidRPr="00017039" w:rsidRDefault="00BF6F2A" w:rsidP="00BF6F2A">
      <w:pPr>
        <w:pStyle w:val="Agreement"/>
        <w:numPr>
          <w:ilvl w:val="0"/>
          <w:numId w:val="0"/>
        </w:numPr>
        <w:ind w:left="1619"/>
        <w:rPr>
          <w:lang w:val="en-US" w:eastAsia="ko-KR"/>
        </w:rPr>
      </w:pPr>
      <w:r w:rsidRPr="00017039">
        <w:rPr>
          <w:lang w:val="en-US" w:eastAsia="ko-KR"/>
        </w:rPr>
        <w:t xml:space="preserve">1. UE receives from serving cell, configuration of SSBs of the cell with different PCI for beam measurement/ serving cell change. </w:t>
      </w:r>
    </w:p>
    <w:p w14:paraId="33048712" w14:textId="77777777" w:rsidR="00BF6F2A" w:rsidRPr="00017039" w:rsidRDefault="00BF6F2A" w:rsidP="00BF6F2A">
      <w:pPr>
        <w:pStyle w:val="Agreement"/>
        <w:numPr>
          <w:ilvl w:val="0"/>
          <w:numId w:val="0"/>
        </w:numPr>
        <w:ind w:left="1619"/>
        <w:rPr>
          <w:lang w:val="en-US" w:eastAsia="ko-KR"/>
        </w:rPr>
      </w:pPr>
      <w:r w:rsidRPr="00017039">
        <w:rPr>
          <w:lang w:val="en-US" w:eastAsia="ko-KR"/>
        </w:rPr>
        <w:t xml:space="preserve">2. UE performs beam measurement for the cell with different PCI and report it to serving cell. </w:t>
      </w:r>
    </w:p>
    <w:p w14:paraId="4FBE9115" w14:textId="77777777" w:rsidR="00BF6F2A" w:rsidRPr="00017039" w:rsidRDefault="00BF6F2A" w:rsidP="00BF6F2A">
      <w:pPr>
        <w:pStyle w:val="Agreement"/>
        <w:numPr>
          <w:ilvl w:val="0"/>
          <w:numId w:val="0"/>
        </w:numPr>
        <w:ind w:left="1619"/>
        <w:rPr>
          <w:lang w:val="en-US" w:eastAsia="ko-KR"/>
        </w:rPr>
      </w:pPr>
      <w:r w:rsidRPr="00017039">
        <w:rPr>
          <w:lang w:val="en-US" w:eastAsia="ko-KR"/>
        </w:rPr>
        <w:t xml:space="preserve">3. Serving cell configuration for cell with other PCI is provided to the UE by RRC (pre-configuration for serving cell change, FFS if this step is same as 1). </w:t>
      </w:r>
    </w:p>
    <w:p w14:paraId="5CD0C0C6" w14:textId="77777777" w:rsidR="00BF6F2A" w:rsidRPr="00017039" w:rsidRDefault="00BF6F2A" w:rsidP="00BF6F2A">
      <w:pPr>
        <w:pStyle w:val="Agreement"/>
        <w:numPr>
          <w:ilvl w:val="0"/>
          <w:numId w:val="0"/>
        </w:numPr>
        <w:ind w:left="1619"/>
        <w:rPr>
          <w:lang w:val="en-US" w:eastAsia="ko-KR"/>
        </w:rPr>
      </w:pPr>
      <w:r w:rsidRPr="00017039">
        <w:rPr>
          <w:lang w:val="en-US" w:eastAsia="ko-KR"/>
        </w:rPr>
        <w:t>4. Based on the above reports, TCI states for cell with different PCI is activated along with the serving cell change (by L1/L2 signaling). FFS if this is multiple steps.</w:t>
      </w:r>
    </w:p>
    <w:p w14:paraId="4F804638" w14:textId="77777777" w:rsidR="00BF6F2A" w:rsidRPr="00017039" w:rsidRDefault="00BF6F2A" w:rsidP="00BF6F2A">
      <w:pPr>
        <w:pStyle w:val="Agreement"/>
        <w:numPr>
          <w:ilvl w:val="0"/>
          <w:numId w:val="0"/>
        </w:numPr>
        <w:ind w:left="1619"/>
        <w:rPr>
          <w:lang w:val="en-US" w:eastAsia="ko-KR"/>
        </w:rPr>
      </w:pPr>
      <w:r w:rsidRPr="00017039">
        <w:rPr>
          <w:lang w:val="en-US" w:eastAsia="ko-KR"/>
        </w:rPr>
        <w:t>5. UE changes the serving cell and starts receiving/transmitting using the pre-configured UE-dedicated channel and TCI states.</w:t>
      </w:r>
    </w:p>
    <w:p w14:paraId="319540B5" w14:textId="77777777" w:rsidR="00BF6F2A" w:rsidRDefault="00BF6F2A" w:rsidP="00BF6F2A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2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In L1 L2 mobility, support b</w:t>
      </w:r>
      <w:r w:rsidRPr="00AA43E0">
        <w:rPr>
          <w:rFonts w:ascii="Times New Roman" w:hAnsi="Times New Roman" w:cs="Times New Roman"/>
          <w:b/>
          <w:sz w:val="22"/>
          <w:lang w:val="en-GB"/>
        </w:rPr>
        <w:t>oth RACH-based (CFRA, CBRA) and RACH-less procedure</w:t>
      </w:r>
      <w:r>
        <w:rPr>
          <w:rFonts w:ascii="Times New Roman" w:hAnsi="Times New Roman" w:cs="Times New Roman"/>
          <w:b/>
          <w:sz w:val="22"/>
          <w:lang w:val="en-GB"/>
        </w:rPr>
        <w:t>s.</w:t>
      </w:r>
    </w:p>
    <w:p w14:paraId="39ACBBED" w14:textId="77777777" w:rsidR="00746FA7" w:rsidRDefault="00746FA7" w:rsidP="00746FA7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3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For L1 L2 mobility, source gNB should provide following information:</w:t>
      </w:r>
    </w:p>
    <w:p w14:paraId="32B24A77" w14:textId="77777777" w:rsidR="00746FA7" w:rsidRDefault="00746FA7" w:rsidP="00746FA7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ab/>
        <w:t>- Cell(s) to change, including target PCell and SCell(s) in MCG/SCG.</w:t>
      </w:r>
    </w:p>
    <w:p w14:paraId="7CDF8920" w14:textId="77777777" w:rsidR="00746FA7" w:rsidRDefault="00746FA7" w:rsidP="00746FA7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ab/>
        <w:t>- beam(s) or TCI state(s) to activate for the Cell(s)</w:t>
      </w:r>
    </w:p>
    <w:p w14:paraId="269C7EEC" w14:textId="77777777" w:rsidR="00746FA7" w:rsidRDefault="00746FA7" w:rsidP="00746FA7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ab/>
        <w:t>- For CFRA, dedicated random access resources</w:t>
      </w:r>
    </w:p>
    <w:p w14:paraId="5CBDE598" w14:textId="77777777" w:rsidR="00746FA7" w:rsidRDefault="00746FA7" w:rsidP="00746FA7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ab/>
        <w:t>- For RACH-less, TA for target PCell and SCell(s)</w:t>
      </w:r>
      <w:r w:rsidRPr="00974DC0">
        <w:rPr>
          <w:rFonts w:ascii="Times New Roman" w:hAnsi="Times New Roman" w:cs="Times New Roman"/>
          <w:b/>
          <w:sz w:val="22"/>
          <w:lang w:val="en-GB"/>
        </w:rPr>
        <w:t xml:space="preserve"> </w:t>
      </w:r>
      <w:r>
        <w:rPr>
          <w:rFonts w:ascii="Times New Roman" w:hAnsi="Times New Roman" w:cs="Times New Roman"/>
          <w:b/>
          <w:sz w:val="22"/>
          <w:lang w:val="en-GB"/>
        </w:rPr>
        <w:t>and beam(s) to be activated for the Cell(s)</w:t>
      </w:r>
    </w:p>
    <w:p w14:paraId="7C1DEB75" w14:textId="77777777" w:rsidR="00746FA7" w:rsidRDefault="00746FA7" w:rsidP="00746FA7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ab/>
        <w:t>- indication on whether to reset MAC or re-establish RLC/PDCP</w:t>
      </w:r>
    </w:p>
    <w:p w14:paraId="58C2C6A9" w14:textId="77777777" w:rsidR="00746FA7" w:rsidRDefault="00746FA7" w:rsidP="00746FA7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  <w:r>
        <w:rPr>
          <w:rFonts w:ascii="Times New Roman" w:hAnsi="Times New Roman" w:cs="Times New Roman"/>
          <w:b/>
          <w:sz w:val="22"/>
          <w:lang w:val="en-GB"/>
        </w:rPr>
        <w:t>Proposal 4</w:t>
      </w:r>
      <w:r w:rsidRPr="004D30D6">
        <w:rPr>
          <w:rFonts w:ascii="Times New Roman" w:hAnsi="Times New Roman" w:cs="Times New Roman"/>
          <w:b/>
          <w:sz w:val="22"/>
          <w:lang w:val="en-GB"/>
        </w:rPr>
        <w:t xml:space="preserve">: </w:t>
      </w:r>
      <w:r>
        <w:rPr>
          <w:rFonts w:ascii="Times New Roman" w:hAnsi="Times New Roman" w:cs="Times New Roman"/>
          <w:b/>
          <w:sz w:val="22"/>
          <w:lang w:val="en-GB"/>
        </w:rPr>
        <w:tab/>
        <w:t>For information used to configure/initiate L1 L2 mobility, RAN2 discuss how to provide the information to the UE (e.g. via RRC signalling or via L1/L2 signaling).</w:t>
      </w:r>
    </w:p>
    <w:p w14:paraId="581E8A08" w14:textId="77777777" w:rsidR="00D11A5C" w:rsidRPr="00746FA7" w:rsidRDefault="00D11A5C" w:rsidP="00156151">
      <w:pPr>
        <w:spacing w:after="240"/>
        <w:ind w:left="1561" w:hangingChars="709" w:hanging="1561"/>
        <w:jc w:val="both"/>
        <w:rPr>
          <w:rFonts w:ascii="Times New Roman" w:hAnsi="Times New Roman" w:cs="Times New Roman"/>
          <w:b/>
          <w:sz w:val="22"/>
          <w:lang w:val="en-GB"/>
        </w:rPr>
      </w:pPr>
    </w:p>
    <w:p w14:paraId="4283D22C" w14:textId="7E83B557" w:rsidR="00527CF1" w:rsidRDefault="00527CF1" w:rsidP="00527CF1">
      <w:pPr>
        <w:pStyle w:val="1"/>
        <w:numPr>
          <w:ilvl w:val="0"/>
          <w:numId w:val="1"/>
        </w:numPr>
        <w:spacing w:beforeLines="50" w:before="180" w:afterLines="50"/>
        <w:rPr>
          <w:rFonts w:cs="Arial"/>
          <w:smallCaps/>
          <w:sz w:val="32"/>
          <w:szCs w:val="32"/>
        </w:rPr>
      </w:pPr>
      <w:r w:rsidRPr="000B5751">
        <w:rPr>
          <w:rFonts w:cs="Arial"/>
          <w:smallCaps/>
          <w:sz w:val="32"/>
          <w:szCs w:val="32"/>
        </w:rPr>
        <w:t>Reference</w:t>
      </w:r>
    </w:p>
    <w:p w14:paraId="1DD0C078" w14:textId="2C8B05C0" w:rsidR="00D76D7B" w:rsidRDefault="00D76D7B" w:rsidP="00B63493">
      <w:r>
        <w:rPr>
          <w:rFonts w:hint="eastAsia"/>
          <w:lang w:val="en-GB"/>
        </w:rPr>
        <w:t>[</w:t>
      </w:r>
      <w:r>
        <w:rPr>
          <w:lang w:val="en-GB"/>
        </w:rPr>
        <w:t>1</w:t>
      </w:r>
      <w:r>
        <w:rPr>
          <w:rFonts w:hint="eastAsia"/>
          <w:lang w:val="en-GB"/>
        </w:rPr>
        <w:t>]</w:t>
      </w:r>
      <w:r w:rsidR="00EC50C8" w:rsidRPr="00EC50C8">
        <w:rPr>
          <w:rFonts w:eastAsia="Times New Roman" w:cs="Arial"/>
          <w:szCs w:val="28"/>
          <w:lang w:eastAsia="x-none"/>
        </w:rPr>
        <w:t xml:space="preserve"> </w:t>
      </w:r>
      <w:r w:rsidR="00EC50C8" w:rsidRPr="00A148EB">
        <w:rPr>
          <w:rFonts w:eastAsia="Times New Roman" w:cs="Arial"/>
          <w:szCs w:val="28"/>
          <w:lang w:eastAsia="x-none"/>
        </w:rPr>
        <w:t>RP-22</w:t>
      </w:r>
      <w:r w:rsidR="00EC50C8">
        <w:rPr>
          <w:rFonts w:eastAsia="Times New Roman" w:cs="Arial"/>
          <w:szCs w:val="28"/>
          <w:lang w:eastAsia="x-none"/>
        </w:rPr>
        <w:t>1799</w:t>
      </w:r>
      <w:r w:rsidR="00A708AE" w:rsidRPr="00211C68">
        <w:tab/>
      </w:r>
      <w:r w:rsidR="00EC50C8" w:rsidRPr="00EC50C8">
        <w:t>Revised WID on Further NR mobility enhancements</w:t>
      </w:r>
    </w:p>
    <w:p w14:paraId="58159E60" w14:textId="21B8B351" w:rsidR="000A498C" w:rsidRPr="00B63493" w:rsidRDefault="000A498C" w:rsidP="00B63493">
      <w:r>
        <w:t>[2] RAN2#114-e meeting report</w:t>
      </w:r>
    </w:p>
    <w:sectPr w:rsidR="000A498C" w:rsidRPr="00B63493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53B1A" w14:textId="77777777" w:rsidR="0063289E" w:rsidRDefault="0063289E" w:rsidP="006105B4">
      <w:r>
        <w:separator/>
      </w:r>
    </w:p>
  </w:endnote>
  <w:endnote w:type="continuationSeparator" w:id="0">
    <w:p w14:paraId="2F9C0B38" w14:textId="77777777" w:rsidR="0063289E" w:rsidRDefault="0063289E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1760BE" w14:textId="77777777" w:rsidR="0063289E" w:rsidRDefault="0063289E" w:rsidP="006105B4">
      <w:r>
        <w:separator/>
      </w:r>
    </w:p>
  </w:footnote>
  <w:footnote w:type="continuationSeparator" w:id="0">
    <w:p w14:paraId="16C1B57D" w14:textId="77777777" w:rsidR="0063289E" w:rsidRDefault="0063289E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C7B67"/>
    <w:multiLevelType w:val="hybridMultilevel"/>
    <w:tmpl w:val="93E668DC"/>
    <w:lvl w:ilvl="0" w:tplc="6C9AB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7FF7479"/>
    <w:multiLevelType w:val="hybridMultilevel"/>
    <w:tmpl w:val="A8F425F2"/>
    <w:lvl w:ilvl="0" w:tplc="607E2A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D774EC1"/>
    <w:multiLevelType w:val="multilevel"/>
    <w:tmpl w:val="7C5B0B5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31C926A7"/>
    <w:multiLevelType w:val="hybridMultilevel"/>
    <w:tmpl w:val="C52CBBD6"/>
    <w:lvl w:ilvl="0" w:tplc="99A4BCC0">
      <w:start w:val="4"/>
      <w:numFmt w:val="bullet"/>
      <w:lvlText w:val="-"/>
      <w:lvlJc w:val="left"/>
      <w:pPr>
        <w:ind w:left="192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1" w:hanging="480"/>
      </w:pPr>
      <w:rPr>
        <w:rFonts w:ascii="Wingdings" w:hAnsi="Wingdings" w:hint="default"/>
      </w:rPr>
    </w:lvl>
  </w:abstractNum>
  <w:abstractNum w:abstractNumId="10" w15:restartNumberingAfterBreak="0">
    <w:nsid w:val="344E4C63"/>
    <w:multiLevelType w:val="multilevel"/>
    <w:tmpl w:val="575E4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E86A89"/>
    <w:multiLevelType w:val="hybridMultilevel"/>
    <w:tmpl w:val="DF3CBE62"/>
    <w:lvl w:ilvl="0" w:tplc="D3D8B7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3E562BD0"/>
    <w:multiLevelType w:val="hybridMultilevel"/>
    <w:tmpl w:val="BC721A1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 w15:restartNumberingAfterBreak="0">
    <w:nsid w:val="3F1F5945"/>
    <w:multiLevelType w:val="hybridMultilevel"/>
    <w:tmpl w:val="08CE0AEC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2426B29"/>
    <w:multiLevelType w:val="hybridMultilevel"/>
    <w:tmpl w:val="4336F374"/>
    <w:lvl w:ilvl="0" w:tplc="78A864BC">
      <w:start w:val="1"/>
      <w:numFmt w:val="decimal"/>
      <w:pStyle w:val="Prop"/>
      <w:lvlText w:val="Proposal %1:"/>
      <w:lvlJc w:val="left"/>
      <w:pPr>
        <w:ind w:left="360" w:hanging="36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singl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20" w15:restartNumberingAfterBreak="0">
    <w:nsid w:val="58421B47"/>
    <w:multiLevelType w:val="hybridMultilevel"/>
    <w:tmpl w:val="E84AF7B0"/>
    <w:lvl w:ilvl="0" w:tplc="089217E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E3F2374"/>
    <w:multiLevelType w:val="hybridMultilevel"/>
    <w:tmpl w:val="F3CEE3FA"/>
    <w:lvl w:ilvl="0" w:tplc="C296A61C">
      <w:start w:val="1"/>
      <w:numFmt w:val="bullet"/>
      <w:lvlText w:val="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 w15:restartNumberingAfterBreak="0">
    <w:nsid w:val="6F2D4E5C"/>
    <w:multiLevelType w:val="hybridMultilevel"/>
    <w:tmpl w:val="3C6C88E2"/>
    <w:lvl w:ilvl="0" w:tplc="7098DF7C">
      <w:start w:val="4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91E5934"/>
    <w:multiLevelType w:val="hybridMultilevel"/>
    <w:tmpl w:val="F3001168"/>
    <w:lvl w:ilvl="0" w:tplc="1F52EA1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6"/>
  </w:num>
  <w:num w:numId="2">
    <w:abstractNumId w:val="27"/>
  </w:num>
  <w:num w:numId="3">
    <w:abstractNumId w:val="5"/>
  </w:num>
  <w:num w:numId="4">
    <w:abstractNumId w:val="18"/>
  </w:num>
  <w:num w:numId="5">
    <w:abstractNumId w:val="4"/>
  </w:num>
  <w:num w:numId="6">
    <w:abstractNumId w:val="7"/>
  </w:num>
  <w:num w:numId="7">
    <w:abstractNumId w:val="21"/>
  </w:num>
  <w:num w:numId="8">
    <w:abstractNumId w:val="25"/>
  </w:num>
  <w:num w:numId="9">
    <w:abstractNumId w:val="8"/>
  </w:num>
  <w:num w:numId="10">
    <w:abstractNumId w:val="11"/>
  </w:num>
  <w:num w:numId="11">
    <w:abstractNumId w:val="0"/>
  </w:num>
  <w:num w:numId="12">
    <w:abstractNumId w:val="26"/>
  </w:num>
  <w:num w:numId="13">
    <w:abstractNumId w:val="24"/>
  </w:num>
  <w:num w:numId="14">
    <w:abstractNumId w:val="12"/>
  </w:num>
  <w:num w:numId="15">
    <w:abstractNumId w:val="13"/>
  </w:num>
  <w:num w:numId="16">
    <w:abstractNumId w:val="19"/>
  </w:num>
  <w:num w:numId="17">
    <w:abstractNumId w:val="9"/>
  </w:num>
  <w:num w:numId="18">
    <w:abstractNumId w:val="16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0"/>
  </w:num>
  <w:num w:numId="22">
    <w:abstractNumId w:val="17"/>
  </w:num>
  <w:num w:numId="23">
    <w:abstractNumId w:val="15"/>
  </w:num>
  <w:num w:numId="24">
    <w:abstractNumId w:val="10"/>
  </w:num>
  <w:num w:numId="25">
    <w:abstractNumId w:val="2"/>
  </w:num>
  <w:num w:numId="26">
    <w:abstractNumId w:val="23"/>
  </w:num>
  <w:num w:numId="27">
    <w:abstractNumId w:val="1"/>
  </w:num>
  <w:num w:numId="28">
    <w:abstractNumId w:val="22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0318"/>
    <w:rsid w:val="00000495"/>
    <w:rsid w:val="0000347E"/>
    <w:rsid w:val="00004F13"/>
    <w:rsid w:val="00005733"/>
    <w:rsid w:val="00010878"/>
    <w:rsid w:val="00011F9F"/>
    <w:rsid w:val="0001281D"/>
    <w:rsid w:val="0001501F"/>
    <w:rsid w:val="000159F9"/>
    <w:rsid w:val="00040172"/>
    <w:rsid w:val="00040178"/>
    <w:rsid w:val="000414E1"/>
    <w:rsid w:val="0004178E"/>
    <w:rsid w:val="00044711"/>
    <w:rsid w:val="00044F6B"/>
    <w:rsid w:val="000450B9"/>
    <w:rsid w:val="00050F38"/>
    <w:rsid w:val="0005193D"/>
    <w:rsid w:val="0005250E"/>
    <w:rsid w:val="000569F6"/>
    <w:rsid w:val="00061C41"/>
    <w:rsid w:val="00066510"/>
    <w:rsid w:val="00066A7D"/>
    <w:rsid w:val="0006743D"/>
    <w:rsid w:val="000677CE"/>
    <w:rsid w:val="000711D7"/>
    <w:rsid w:val="00071D28"/>
    <w:rsid w:val="000727EB"/>
    <w:rsid w:val="00073659"/>
    <w:rsid w:val="00073733"/>
    <w:rsid w:val="000748F9"/>
    <w:rsid w:val="00081A06"/>
    <w:rsid w:val="00081D90"/>
    <w:rsid w:val="00090357"/>
    <w:rsid w:val="0009264D"/>
    <w:rsid w:val="00092BCD"/>
    <w:rsid w:val="0009394A"/>
    <w:rsid w:val="000954DC"/>
    <w:rsid w:val="000A1941"/>
    <w:rsid w:val="000A498C"/>
    <w:rsid w:val="000A5362"/>
    <w:rsid w:val="000A63D9"/>
    <w:rsid w:val="000A6CCB"/>
    <w:rsid w:val="000A6FE6"/>
    <w:rsid w:val="000B0AF9"/>
    <w:rsid w:val="000B1D1F"/>
    <w:rsid w:val="000B1DEC"/>
    <w:rsid w:val="000B1FC0"/>
    <w:rsid w:val="000B30FE"/>
    <w:rsid w:val="000B58AA"/>
    <w:rsid w:val="000C071E"/>
    <w:rsid w:val="000C4682"/>
    <w:rsid w:val="000C4897"/>
    <w:rsid w:val="000C5AB5"/>
    <w:rsid w:val="000C5FA6"/>
    <w:rsid w:val="000D4268"/>
    <w:rsid w:val="000D42FC"/>
    <w:rsid w:val="000D4BA0"/>
    <w:rsid w:val="000D6FE8"/>
    <w:rsid w:val="000E2ABF"/>
    <w:rsid w:val="000E3147"/>
    <w:rsid w:val="000E359B"/>
    <w:rsid w:val="000E4552"/>
    <w:rsid w:val="000E5FAE"/>
    <w:rsid w:val="000E674E"/>
    <w:rsid w:val="000E7011"/>
    <w:rsid w:val="000E73AA"/>
    <w:rsid w:val="000F458F"/>
    <w:rsid w:val="000F461A"/>
    <w:rsid w:val="000F4B81"/>
    <w:rsid w:val="000F51B5"/>
    <w:rsid w:val="000F76FB"/>
    <w:rsid w:val="000F7937"/>
    <w:rsid w:val="000F7B57"/>
    <w:rsid w:val="000F7D1C"/>
    <w:rsid w:val="00101C4C"/>
    <w:rsid w:val="00102112"/>
    <w:rsid w:val="0010365F"/>
    <w:rsid w:val="00104225"/>
    <w:rsid w:val="00105D21"/>
    <w:rsid w:val="00106249"/>
    <w:rsid w:val="00106806"/>
    <w:rsid w:val="001105D5"/>
    <w:rsid w:val="0011174E"/>
    <w:rsid w:val="001146DC"/>
    <w:rsid w:val="001159CE"/>
    <w:rsid w:val="00117894"/>
    <w:rsid w:val="001212F4"/>
    <w:rsid w:val="00125CCE"/>
    <w:rsid w:val="00125F74"/>
    <w:rsid w:val="0012753E"/>
    <w:rsid w:val="0013152C"/>
    <w:rsid w:val="00137DBB"/>
    <w:rsid w:val="00141497"/>
    <w:rsid w:val="0014611E"/>
    <w:rsid w:val="00150C57"/>
    <w:rsid w:val="00152BA6"/>
    <w:rsid w:val="0015389C"/>
    <w:rsid w:val="00154298"/>
    <w:rsid w:val="0015497A"/>
    <w:rsid w:val="00156151"/>
    <w:rsid w:val="00164366"/>
    <w:rsid w:val="0017645C"/>
    <w:rsid w:val="00181A64"/>
    <w:rsid w:val="001828EE"/>
    <w:rsid w:val="00185DA7"/>
    <w:rsid w:val="00186F60"/>
    <w:rsid w:val="00191542"/>
    <w:rsid w:val="00192BFC"/>
    <w:rsid w:val="00193AF2"/>
    <w:rsid w:val="00194100"/>
    <w:rsid w:val="0019436E"/>
    <w:rsid w:val="00195577"/>
    <w:rsid w:val="00195604"/>
    <w:rsid w:val="001A22E6"/>
    <w:rsid w:val="001A2B6A"/>
    <w:rsid w:val="001A719D"/>
    <w:rsid w:val="001A7AE5"/>
    <w:rsid w:val="001B6495"/>
    <w:rsid w:val="001B65B3"/>
    <w:rsid w:val="001C0872"/>
    <w:rsid w:val="001C0C83"/>
    <w:rsid w:val="001C30EC"/>
    <w:rsid w:val="001C72BD"/>
    <w:rsid w:val="001D0448"/>
    <w:rsid w:val="001D0E79"/>
    <w:rsid w:val="001D2A69"/>
    <w:rsid w:val="001D48BD"/>
    <w:rsid w:val="001D4AD8"/>
    <w:rsid w:val="001D5086"/>
    <w:rsid w:val="001D61B8"/>
    <w:rsid w:val="001D62A1"/>
    <w:rsid w:val="001D70A0"/>
    <w:rsid w:val="001E0291"/>
    <w:rsid w:val="001E0C22"/>
    <w:rsid w:val="001E1012"/>
    <w:rsid w:val="001E1943"/>
    <w:rsid w:val="001E6E6B"/>
    <w:rsid w:val="001F1AF7"/>
    <w:rsid w:val="001F231C"/>
    <w:rsid w:val="001F2CB1"/>
    <w:rsid w:val="00200F52"/>
    <w:rsid w:val="002016CE"/>
    <w:rsid w:val="00210D12"/>
    <w:rsid w:val="002115F5"/>
    <w:rsid w:val="00211899"/>
    <w:rsid w:val="002118CD"/>
    <w:rsid w:val="0021450D"/>
    <w:rsid w:val="00220993"/>
    <w:rsid w:val="00221BC0"/>
    <w:rsid w:val="00223DF2"/>
    <w:rsid w:val="002245CF"/>
    <w:rsid w:val="0022745C"/>
    <w:rsid w:val="00227E0C"/>
    <w:rsid w:val="002313A3"/>
    <w:rsid w:val="00232F72"/>
    <w:rsid w:val="002355CD"/>
    <w:rsid w:val="0023585E"/>
    <w:rsid w:val="0023592B"/>
    <w:rsid w:val="0024521F"/>
    <w:rsid w:val="002456E9"/>
    <w:rsid w:val="0024606D"/>
    <w:rsid w:val="00246F3E"/>
    <w:rsid w:val="00252235"/>
    <w:rsid w:val="00252E64"/>
    <w:rsid w:val="00256486"/>
    <w:rsid w:val="002575DF"/>
    <w:rsid w:val="002606A6"/>
    <w:rsid w:val="00262AB5"/>
    <w:rsid w:val="002631A6"/>
    <w:rsid w:val="00267FA7"/>
    <w:rsid w:val="00271C58"/>
    <w:rsid w:val="00273A8B"/>
    <w:rsid w:val="0027554B"/>
    <w:rsid w:val="00280EF6"/>
    <w:rsid w:val="00281682"/>
    <w:rsid w:val="00282FF4"/>
    <w:rsid w:val="00293699"/>
    <w:rsid w:val="00294304"/>
    <w:rsid w:val="002948D1"/>
    <w:rsid w:val="002A03B3"/>
    <w:rsid w:val="002A1BA5"/>
    <w:rsid w:val="002A5C2D"/>
    <w:rsid w:val="002A78B0"/>
    <w:rsid w:val="002B405C"/>
    <w:rsid w:val="002C05D4"/>
    <w:rsid w:val="002C11C3"/>
    <w:rsid w:val="002C7BF3"/>
    <w:rsid w:val="002D1A8F"/>
    <w:rsid w:val="002D334D"/>
    <w:rsid w:val="002D4F4E"/>
    <w:rsid w:val="002E269F"/>
    <w:rsid w:val="002E3B62"/>
    <w:rsid w:val="002E5AB3"/>
    <w:rsid w:val="002E5C12"/>
    <w:rsid w:val="002E5EF1"/>
    <w:rsid w:val="002E7D35"/>
    <w:rsid w:val="002E7F1F"/>
    <w:rsid w:val="002F2E6A"/>
    <w:rsid w:val="002F2FAA"/>
    <w:rsid w:val="002F3526"/>
    <w:rsid w:val="003004EA"/>
    <w:rsid w:val="00301248"/>
    <w:rsid w:val="00301F5C"/>
    <w:rsid w:val="0030224E"/>
    <w:rsid w:val="0030486E"/>
    <w:rsid w:val="00304AA5"/>
    <w:rsid w:val="00311AFF"/>
    <w:rsid w:val="00314754"/>
    <w:rsid w:val="00314DF8"/>
    <w:rsid w:val="003153E2"/>
    <w:rsid w:val="0032054A"/>
    <w:rsid w:val="00320F4B"/>
    <w:rsid w:val="00324C36"/>
    <w:rsid w:val="003273B8"/>
    <w:rsid w:val="003273EB"/>
    <w:rsid w:val="00327A4C"/>
    <w:rsid w:val="003320AE"/>
    <w:rsid w:val="003336CF"/>
    <w:rsid w:val="00334050"/>
    <w:rsid w:val="00336888"/>
    <w:rsid w:val="0034030D"/>
    <w:rsid w:val="00341356"/>
    <w:rsid w:val="00342974"/>
    <w:rsid w:val="003504B5"/>
    <w:rsid w:val="00354143"/>
    <w:rsid w:val="00361249"/>
    <w:rsid w:val="003663C6"/>
    <w:rsid w:val="003667B9"/>
    <w:rsid w:val="00375D09"/>
    <w:rsid w:val="00377D49"/>
    <w:rsid w:val="00377F76"/>
    <w:rsid w:val="003803A4"/>
    <w:rsid w:val="00381AC4"/>
    <w:rsid w:val="00393010"/>
    <w:rsid w:val="00393348"/>
    <w:rsid w:val="00395502"/>
    <w:rsid w:val="00396CE3"/>
    <w:rsid w:val="003A1688"/>
    <w:rsid w:val="003A3F0D"/>
    <w:rsid w:val="003A4FEE"/>
    <w:rsid w:val="003A65FF"/>
    <w:rsid w:val="003A6785"/>
    <w:rsid w:val="003A67B9"/>
    <w:rsid w:val="003B01D5"/>
    <w:rsid w:val="003B1668"/>
    <w:rsid w:val="003B23F3"/>
    <w:rsid w:val="003B3EFD"/>
    <w:rsid w:val="003B4FAD"/>
    <w:rsid w:val="003B56FD"/>
    <w:rsid w:val="003B5A2D"/>
    <w:rsid w:val="003B5FC2"/>
    <w:rsid w:val="003C0456"/>
    <w:rsid w:val="003C0799"/>
    <w:rsid w:val="003C0C69"/>
    <w:rsid w:val="003C2DC8"/>
    <w:rsid w:val="003C5C2B"/>
    <w:rsid w:val="003D17D6"/>
    <w:rsid w:val="003D261A"/>
    <w:rsid w:val="003D3557"/>
    <w:rsid w:val="003D4575"/>
    <w:rsid w:val="003D5247"/>
    <w:rsid w:val="003D5847"/>
    <w:rsid w:val="003D5FDF"/>
    <w:rsid w:val="003D6184"/>
    <w:rsid w:val="003D7130"/>
    <w:rsid w:val="003D71C6"/>
    <w:rsid w:val="003D7D5A"/>
    <w:rsid w:val="003E162D"/>
    <w:rsid w:val="003E183D"/>
    <w:rsid w:val="003E28D5"/>
    <w:rsid w:val="003E5F07"/>
    <w:rsid w:val="003E692C"/>
    <w:rsid w:val="003F0257"/>
    <w:rsid w:val="003F0418"/>
    <w:rsid w:val="003F22FE"/>
    <w:rsid w:val="003F40A5"/>
    <w:rsid w:val="003F422D"/>
    <w:rsid w:val="003F577E"/>
    <w:rsid w:val="003F5E2E"/>
    <w:rsid w:val="003F61EC"/>
    <w:rsid w:val="003F6202"/>
    <w:rsid w:val="003F6CD7"/>
    <w:rsid w:val="003F7166"/>
    <w:rsid w:val="003F719E"/>
    <w:rsid w:val="00404D76"/>
    <w:rsid w:val="00404F50"/>
    <w:rsid w:val="00407D07"/>
    <w:rsid w:val="0041101E"/>
    <w:rsid w:val="004110B1"/>
    <w:rsid w:val="004115A4"/>
    <w:rsid w:val="00413D82"/>
    <w:rsid w:val="0041794C"/>
    <w:rsid w:val="00420C16"/>
    <w:rsid w:val="00422F80"/>
    <w:rsid w:val="00431964"/>
    <w:rsid w:val="00434565"/>
    <w:rsid w:val="004446B5"/>
    <w:rsid w:val="00445581"/>
    <w:rsid w:val="00446C10"/>
    <w:rsid w:val="00446E7B"/>
    <w:rsid w:val="00451189"/>
    <w:rsid w:val="004514A2"/>
    <w:rsid w:val="00453831"/>
    <w:rsid w:val="0045530B"/>
    <w:rsid w:val="00456D2E"/>
    <w:rsid w:val="004604E8"/>
    <w:rsid w:val="004628A0"/>
    <w:rsid w:val="00462905"/>
    <w:rsid w:val="00464239"/>
    <w:rsid w:val="00464A39"/>
    <w:rsid w:val="004669CA"/>
    <w:rsid w:val="004704C3"/>
    <w:rsid w:val="0047085F"/>
    <w:rsid w:val="00471A55"/>
    <w:rsid w:val="004749E6"/>
    <w:rsid w:val="00475FE0"/>
    <w:rsid w:val="00476C75"/>
    <w:rsid w:val="00476E2B"/>
    <w:rsid w:val="004777C1"/>
    <w:rsid w:val="004808E6"/>
    <w:rsid w:val="0048150D"/>
    <w:rsid w:val="00482752"/>
    <w:rsid w:val="00482A74"/>
    <w:rsid w:val="00483F04"/>
    <w:rsid w:val="00484573"/>
    <w:rsid w:val="004858C6"/>
    <w:rsid w:val="00490186"/>
    <w:rsid w:val="00490E92"/>
    <w:rsid w:val="00491308"/>
    <w:rsid w:val="00493DF6"/>
    <w:rsid w:val="00496B71"/>
    <w:rsid w:val="00497D5E"/>
    <w:rsid w:val="004A04F3"/>
    <w:rsid w:val="004A49F9"/>
    <w:rsid w:val="004A56B2"/>
    <w:rsid w:val="004A667F"/>
    <w:rsid w:val="004A699F"/>
    <w:rsid w:val="004A6A03"/>
    <w:rsid w:val="004B1A82"/>
    <w:rsid w:val="004B4F56"/>
    <w:rsid w:val="004C0844"/>
    <w:rsid w:val="004C10FD"/>
    <w:rsid w:val="004C3334"/>
    <w:rsid w:val="004C478A"/>
    <w:rsid w:val="004D1B7B"/>
    <w:rsid w:val="004D30D6"/>
    <w:rsid w:val="004D37F9"/>
    <w:rsid w:val="004D6134"/>
    <w:rsid w:val="004E146D"/>
    <w:rsid w:val="004E25A8"/>
    <w:rsid w:val="004E3554"/>
    <w:rsid w:val="004E48B8"/>
    <w:rsid w:val="004E4976"/>
    <w:rsid w:val="004E4EB8"/>
    <w:rsid w:val="004E5194"/>
    <w:rsid w:val="004E5A44"/>
    <w:rsid w:val="004F156E"/>
    <w:rsid w:val="004F2A6C"/>
    <w:rsid w:val="004F6195"/>
    <w:rsid w:val="005005B4"/>
    <w:rsid w:val="00500F60"/>
    <w:rsid w:val="005028CA"/>
    <w:rsid w:val="00502FA8"/>
    <w:rsid w:val="0050707C"/>
    <w:rsid w:val="005161B1"/>
    <w:rsid w:val="00520050"/>
    <w:rsid w:val="00520861"/>
    <w:rsid w:val="005214B6"/>
    <w:rsid w:val="00521FEA"/>
    <w:rsid w:val="00522496"/>
    <w:rsid w:val="00526364"/>
    <w:rsid w:val="00527CF1"/>
    <w:rsid w:val="00536AE1"/>
    <w:rsid w:val="00540CAF"/>
    <w:rsid w:val="0054248B"/>
    <w:rsid w:val="005432B9"/>
    <w:rsid w:val="005532C9"/>
    <w:rsid w:val="0055423F"/>
    <w:rsid w:val="00556373"/>
    <w:rsid w:val="0055704F"/>
    <w:rsid w:val="00562EDE"/>
    <w:rsid w:val="005637D8"/>
    <w:rsid w:val="005711E8"/>
    <w:rsid w:val="00571217"/>
    <w:rsid w:val="00576CF2"/>
    <w:rsid w:val="00576D54"/>
    <w:rsid w:val="00580101"/>
    <w:rsid w:val="00584AB1"/>
    <w:rsid w:val="00590D1E"/>
    <w:rsid w:val="005915D8"/>
    <w:rsid w:val="005926D9"/>
    <w:rsid w:val="00595A26"/>
    <w:rsid w:val="005975DD"/>
    <w:rsid w:val="00597FEF"/>
    <w:rsid w:val="005A2565"/>
    <w:rsid w:val="005A3014"/>
    <w:rsid w:val="005A4162"/>
    <w:rsid w:val="005A47CE"/>
    <w:rsid w:val="005A5179"/>
    <w:rsid w:val="005B15B7"/>
    <w:rsid w:val="005B4FA4"/>
    <w:rsid w:val="005B5534"/>
    <w:rsid w:val="005B615D"/>
    <w:rsid w:val="005C168E"/>
    <w:rsid w:val="005C2553"/>
    <w:rsid w:val="005C73A1"/>
    <w:rsid w:val="005D0C44"/>
    <w:rsid w:val="005D11FC"/>
    <w:rsid w:val="005D1433"/>
    <w:rsid w:val="005D377C"/>
    <w:rsid w:val="005D55AA"/>
    <w:rsid w:val="005D5F2C"/>
    <w:rsid w:val="005D6234"/>
    <w:rsid w:val="005D79D9"/>
    <w:rsid w:val="005E037D"/>
    <w:rsid w:val="005E056A"/>
    <w:rsid w:val="005E09D7"/>
    <w:rsid w:val="005E4F39"/>
    <w:rsid w:val="005E535E"/>
    <w:rsid w:val="005F086B"/>
    <w:rsid w:val="005F21EA"/>
    <w:rsid w:val="005F22E1"/>
    <w:rsid w:val="005F4FB0"/>
    <w:rsid w:val="005F53F1"/>
    <w:rsid w:val="005F5599"/>
    <w:rsid w:val="005F7EE5"/>
    <w:rsid w:val="0060167F"/>
    <w:rsid w:val="00601CFB"/>
    <w:rsid w:val="00604A29"/>
    <w:rsid w:val="006105B4"/>
    <w:rsid w:val="00610E26"/>
    <w:rsid w:val="00611AE1"/>
    <w:rsid w:val="0061506B"/>
    <w:rsid w:val="00616139"/>
    <w:rsid w:val="00620B46"/>
    <w:rsid w:val="00621025"/>
    <w:rsid w:val="006240CC"/>
    <w:rsid w:val="0062445E"/>
    <w:rsid w:val="00626C6E"/>
    <w:rsid w:val="006279C7"/>
    <w:rsid w:val="006279D1"/>
    <w:rsid w:val="006302C7"/>
    <w:rsid w:val="0063141A"/>
    <w:rsid w:val="0063176F"/>
    <w:rsid w:val="006325A4"/>
    <w:rsid w:val="0063289E"/>
    <w:rsid w:val="00634C47"/>
    <w:rsid w:val="00634FFE"/>
    <w:rsid w:val="006421E5"/>
    <w:rsid w:val="00642CAD"/>
    <w:rsid w:val="00643C6C"/>
    <w:rsid w:val="00645BA8"/>
    <w:rsid w:val="00650D57"/>
    <w:rsid w:val="0065126E"/>
    <w:rsid w:val="006512B7"/>
    <w:rsid w:val="00651B84"/>
    <w:rsid w:val="00655FF7"/>
    <w:rsid w:val="0065700A"/>
    <w:rsid w:val="00657D40"/>
    <w:rsid w:val="00661612"/>
    <w:rsid w:val="0066200D"/>
    <w:rsid w:val="006624BB"/>
    <w:rsid w:val="0067217B"/>
    <w:rsid w:val="00673110"/>
    <w:rsid w:val="00675F5C"/>
    <w:rsid w:val="00680FCB"/>
    <w:rsid w:val="00681FAA"/>
    <w:rsid w:val="00682A6C"/>
    <w:rsid w:val="00685DC3"/>
    <w:rsid w:val="00685DF0"/>
    <w:rsid w:val="00686A78"/>
    <w:rsid w:val="00686C29"/>
    <w:rsid w:val="00687ED5"/>
    <w:rsid w:val="00690C41"/>
    <w:rsid w:val="00691BF4"/>
    <w:rsid w:val="006921C3"/>
    <w:rsid w:val="006922FC"/>
    <w:rsid w:val="006942C6"/>
    <w:rsid w:val="006949EC"/>
    <w:rsid w:val="00695FC1"/>
    <w:rsid w:val="00696DD7"/>
    <w:rsid w:val="006A1CEE"/>
    <w:rsid w:val="006A1D44"/>
    <w:rsid w:val="006A26C2"/>
    <w:rsid w:val="006A4145"/>
    <w:rsid w:val="006A71C6"/>
    <w:rsid w:val="006A774A"/>
    <w:rsid w:val="006B2C3A"/>
    <w:rsid w:val="006B5E49"/>
    <w:rsid w:val="006B61DB"/>
    <w:rsid w:val="006C34E2"/>
    <w:rsid w:val="006C4C37"/>
    <w:rsid w:val="006D01F8"/>
    <w:rsid w:val="006D3090"/>
    <w:rsid w:val="006D30A3"/>
    <w:rsid w:val="006D3428"/>
    <w:rsid w:val="006D4F68"/>
    <w:rsid w:val="006D58E4"/>
    <w:rsid w:val="006E1B3F"/>
    <w:rsid w:val="006E2565"/>
    <w:rsid w:val="006E3F63"/>
    <w:rsid w:val="006E5843"/>
    <w:rsid w:val="006F18B9"/>
    <w:rsid w:val="006F4AED"/>
    <w:rsid w:val="006F5E08"/>
    <w:rsid w:val="006F6940"/>
    <w:rsid w:val="00702606"/>
    <w:rsid w:val="00702EEC"/>
    <w:rsid w:val="00705B22"/>
    <w:rsid w:val="00710DA1"/>
    <w:rsid w:val="00711181"/>
    <w:rsid w:val="007137F8"/>
    <w:rsid w:val="00713A23"/>
    <w:rsid w:val="00714B70"/>
    <w:rsid w:val="0071541F"/>
    <w:rsid w:val="007250D2"/>
    <w:rsid w:val="00725377"/>
    <w:rsid w:val="00726E72"/>
    <w:rsid w:val="0073075C"/>
    <w:rsid w:val="00731CA3"/>
    <w:rsid w:val="0073299B"/>
    <w:rsid w:val="007354CC"/>
    <w:rsid w:val="0073725B"/>
    <w:rsid w:val="00737886"/>
    <w:rsid w:val="00737E7B"/>
    <w:rsid w:val="0074098A"/>
    <w:rsid w:val="00741C62"/>
    <w:rsid w:val="00741D1D"/>
    <w:rsid w:val="00746378"/>
    <w:rsid w:val="00746B0F"/>
    <w:rsid w:val="00746FA7"/>
    <w:rsid w:val="007526FF"/>
    <w:rsid w:val="00752BCB"/>
    <w:rsid w:val="007613AC"/>
    <w:rsid w:val="00761948"/>
    <w:rsid w:val="0076363D"/>
    <w:rsid w:val="00763698"/>
    <w:rsid w:val="0076431A"/>
    <w:rsid w:val="00767D4A"/>
    <w:rsid w:val="00767F4D"/>
    <w:rsid w:val="0077053B"/>
    <w:rsid w:val="007729D8"/>
    <w:rsid w:val="00774BD9"/>
    <w:rsid w:val="00775C4B"/>
    <w:rsid w:val="00777927"/>
    <w:rsid w:val="00781810"/>
    <w:rsid w:val="00781BD8"/>
    <w:rsid w:val="00781E50"/>
    <w:rsid w:val="00783C60"/>
    <w:rsid w:val="007842AD"/>
    <w:rsid w:val="00785039"/>
    <w:rsid w:val="00786389"/>
    <w:rsid w:val="00793A14"/>
    <w:rsid w:val="007943D8"/>
    <w:rsid w:val="00794455"/>
    <w:rsid w:val="00794D7F"/>
    <w:rsid w:val="00796D11"/>
    <w:rsid w:val="007A19B0"/>
    <w:rsid w:val="007A5615"/>
    <w:rsid w:val="007A5674"/>
    <w:rsid w:val="007A76E8"/>
    <w:rsid w:val="007B2CBF"/>
    <w:rsid w:val="007B2D36"/>
    <w:rsid w:val="007C0473"/>
    <w:rsid w:val="007C128C"/>
    <w:rsid w:val="007C423B"/>
    <w:rsid w:val="007C4918"/>
    <w:rsid w:val="007C671C"/>
    <w:rsid w:val="007C7A77"/>
    <w:rsid w:val="007D2990"/>
    <w:rsid w:val="007D3ACC"/>
    <w:rsid w:val="007E2B31"/>
    <w:rsid w:val="007E4323"/>
    <w:rsid w:val="007E7E19"/>
    <w:rsid w:val="007F1433"/>
    <w:rsid w:val="007F16A6"/>
    <w:rsid w:val="007F32F7"/>
    <w:rsid w:val="00801419"/>
    <w:rsid w:val="00802997"/>
    <w:rsid w:val="00810B7D"/>
    <w:rsid w:val="00810DE6"/>
    <w:rsid w:val="0081158E"/>
    <w:rsid w:val="008136D5"/>
    <w:rsid w:val="008179B0"/>
    <w:rsid w:val="00820BED"/>
    <w:rsid w:val="008214FD"/>
    <w:rsid w:val="008248DD"/>
    <w:rsid w:val="00824F3C"/>
    <w:rsid w:val="008269DE"/>
    <w:rsid w:val="00831204"/>
    <w:rsid w:val="008318A8"/>
    <w:rsid w:val="00834628"/>
    <w:rsid w:val="00836728"/>
    <w:rsid w:val="008466C6"/>
    <w:rsid w:val="008476D1"/>
    <w:rsid w:val="00847728"/>
    <w:rsid w:val="00847EF5"/>
    <w:rsid w:val="00851936"/>
    <w:rsid w:val="00863DE0"/>
    <w:rsid w:val="00863E10"/>
    <w:rsid w:val="00872AB2"/>
    <w:rsid w:val="00883D5A"/>
    <w:rsid w:val="00883F88"/>
    <w:rsid w:val="00886A39"/>
    <w:rsid w:val="00890933"/>
    <w:rsid w:val="0089228E"/>
    <w:rsid w:val="00893256"/>
    <w:rsid w:val="008A1AD3"/>
    <w:rsid w:val="008A20E6"/>
    <w:rsid w:val="008A2519"/>
    <w:rsid w:val="008A350F"/>
    <w:rsid w:val="008A46BF"/>
    <w:rsid w:val="008A5D52"/>
    <w:rsid w:val="008A7FDF"/>
    <w:rsid w:val="008B0EB6"/>
    <w:rsid w:val="008B1AA5"/>
    <w:rsid w:val="008C09F1"/>
    <w:rsid w:val="008C5BD1"/>
    <w:rsid w:val="008D06FC"/>
    <w:rsid w:val="008D54FD"/>
    <w:rsid w:val="008E02B2"/>
    <w:rsid w:val="008E0B29"/>
    <w:rsid w:val="008E16DE"/>
    <w:rsid w:val="008E3E1A"/>
    <w:rsid w:val="008E5755"/>
    <w:rsid w:val="008E6ADD"/>
    <w:rsid w:val="008E7A6F"/>
    <w:rsid w:val="008F007E"/>
    <w:rsid w:val="008F17C1"/>
    <w:rsid w:val="008F1FC5"/>
    <w:rsid w:val="008F553F"/>
    <w:rsid w:val="00900A96"/>
    <w:rsid w:val="00902767"/>
    <w:rsid w:val="00903D21"/>
    <w:rsid w:val="00904502"/>
    <w:rsid w:val="00912219"/>
    <w:rsid w:val="00914D7B"/>
    <w:rsid w:val="00915B67"/>
    <w:rsid w:val="0091635C"/>
    <w:rsid w:val="00924D61"/>
    <w:rsid w:val="00924F33"/>
    <w:rsid w:val="009254CE"/>
    <w:rsid w:val="00926716"/>
    <w:rsid w:val="009300F7"/>
    <w:rsid w:val="00937248"/>
    <w:rsid w:val="00940DB1"/>
    <w:rsid w:val="009456B4"/>
    <w:rsid w:val="0094697F"/>
    <w:rsid w:val="00951A8C"/>
    <w:rsid w:val="009537C0"/>
    <w:rsid w:val="0095717F"/>
    <w:rsid w:val="00961DFE"/>
    <w:rsid w:val="00965A56"/>
    <w:rsid w:val="0096749B"/>
    <w:rsid w:val="0097394C"/>
    <w:rsid w:val="00974DC0"/>
    <w:rsid w:val="00975DDF"/>
    <w:rsid w:val="009807B2"/>
    <w:rsid w:val="009820CB"/>
    <w:rsid w:val="00982F8E"/>
    <w:rsid w:val="00983C21"/>
    <w:rsid w:val="00987BF7"/>
    <w:rsid w:val="00992953"/>
    <w:rsid w:val="00992E10"/>
    <w:rsid w:val="00995271"/>
    <w:rsid w:val="00996129"/>
    <w:rsid w:val="00996CB1"/>
    <w:rsid w:val="009976A8"/>
    <w:rsid w:val="00997E9B"/>
    <w:rsid w:val="009A216F"/>
    <w:rsid w:val="009A2B97"/>
    <w:rsid w:val="009A5471"/>
    <w:rsid w:val="009B099C"/>
    <w:rsid w:val="009B0D91"/>
    <w:rsid w:val="009B619B"/>
    <w:rsid w:val="009B7EC4"/>
    <w:rsid w:val="009C1E94"/>
    <w:rsid w:val="009C5E54"/>
    <w:rsid w:val="009C600A"/>
    <w:rsid w:val="009C69A2"/>
    <w:rsid w:val="009D0C09"/>
    <w:rsid w:val="009D1515"/>
    <w:rsid w:val="009D37A5"/>
    <w:rsid w:val="009D3992"/>
    <w:rsid w:val="009D4478"/>
    <w:rsid w:val="009D6264"/>
    <w:rsid w:val="009D7C11"/>
    <w:rsid w:val="009E0F4A"/>
    <w:rsid w:val="009E237C"/>
    <w:rsid w:val="009E2E1D"/>
    <w:rsid w:val="009E2E20"/>
    <w:rsid w:val="009E45CD"/>
    <w:rsid w:val="009F0126"/>
    <w:rsid w:val="009F04B1"/>
    <w:rsid w:val="009F0E01"/>
    <w:rsid w:val="009F0F51"/>
    <w:rsid w:val="009F16FB"/>
    <w:rsid w:val="009F21D3"/>
    <w:rsid w:val="009F2A52"/>
    <w:rsid w:val="009F3151"/>
    <w:rsid w:val="009F4D01"/>
    <w:rsid w:val="009F4E1A"/>
    <w:rsid w:val="009F5106"/>
    <w:rsid w:val="00A0072F"/>
    <w:rsid w:val="00A00AD0"/>
    <w:rsid w:val="00A00E62"/>
    <w:rsid w:val="00A01500"/>
    <w:rsid w:val="00A0200E"/>
    <w:rsid w:val="00A025B5"/>
    <w:rsid w:val="00A033F7"/>
    <w:rsid w:val="00A0651C"/>
    <w:rsid w:val="00A06A07"/>
    <w:rsid w:val="00A07008"/>
    <w:rsid w:val="00A142E5"/>
    <w:rsid w:val="00A17476"/>
    <w:rsid w:val="00A17945"/>
    <w:rsid w:val="00A20012"/>
    <w:rsid w:val="00A223BE"/>
    <w:rsid w:val="00A22911"/>
    <w:rsid w:val="00A2376F"/>
    <w:rsid w:val="00A25186"/>
    <w:rsid w:val="00A2618F"/>
    <w:rsid w:val="00A272BD"/>
    <w:rsid w:val="00A27C5B"/>
    <w:rsid w:val="00A27E63"/>
    <w:rsid w:val="00A32349"/>
    <w:rsid w:val="00A3346E"/>
    <w:rsid w:val="00A352FD"/>
    <w:rsid w:val="00A35F53"/>
    <w:rsid w:val="00A37977"/>
    <w:rsid w:val="00A4058D"/>
    <w:rsid w:val="00A46C45"/>
    <w:rsid w:val="00A503EB"/>
    <w:rsid w:val="00A50D6A"/>
    <w:rsid w:val="00A517AE"/>
    <w:rsid w:val="00A55094"/>
    <w:rsid w:val="00A55C89"/>
    <w:rsid w:val="00A62F87"/>
    <w:rsid w:val="00A658F2"/>
    <w:rsid w:val="00A65C67"/>
    <w:rsid w:val="00A66371"/>
    <w:rsid w:val="00A670EB"/>
    <w:rsid w:val="00A67AD5"/>
    <w:rsid w:val="00A708AE"/>
    <w:rsid w:val="00A758F8"/>
    <w:rsid w:val="00A7621A"/>
    <w:rsid w:val="00A807A3"/>
    <w:rsid w:val="00A81955"/>
    <w:rsid w:val="00A83948"/>
    <w:rsid w:val="00A84BCE"/>
    <w:rsid w:val="00A8586D"/>
    <w:rsid w:val="00A85CA7"/>
    <w:rsid w:val="00A876CD"/>
    <w:rsid w:val="00A91738"/>
    <w:rsid w:val="00A92FE8"/>
    <w:rsid w:val="00A93D4F"/>
    <w:rsid w:val="00A952C9"/>
    <w:rsid w:val="00A96BC5"/>
    <w:rsid w:val="00AA0943"/>
    <w:rsid w:val="00AA43E0"/>
    <w:rsid w:val="00AA64AB"/>
    <w:rsid w:val="00AA7215"/>
    <w:rsid w:val="00AA7BDF"/>
    <w:rsid w:val="00AB0B2B"/>
    <w:rsid w:val="00AB22FA"/>
    <w:rsid w:val="00AB5C8A"/>
    <w:rsid w:val="00AB6C81"/>
    <w:rsid w:val="00AC0C7F"/>
    <w:rsid w:val="00AC2466"/>
    <w:rsid w:val="00AC2A36"/>
    <w:rsid w:val="00AC394F"/>
    <w:rsid w:val="00AC3BA9"/>
    <w:rsid w:val="00AD0B88"/>
    <w:rsid w:val="00AD3E8D"/>
    <w:rsid w:val="00AD477C"/>
    <w:rsid w:val="00AD5137"/>
    <w:rsid w:val="00AE388B"/>
    <w:rsid w:val="00AE3EEC"/>
    <w:rsid w:val="00AF0853"/>
    <w:rsid w:val="00AF1E4C"/>
    <w:rsid w:val="00AF2DD1"/>
    <w:rsid w:val="00AF51B6"/>
    <w:rsid w:val="00AF5445"/>
    <w:rsid w:val="00B007BD"/>
    <w:rsid w:val="00B01DC0"/>
    <w:rsid w:val="00B05AC8"/>
    <w:rsid w:val="00B0636D"/>
    <w:rsid w:val="00B109BA"/>
    <w:rsid w:val="00B10C0D"/>
    <w:rsid w:val="00B11D49"/>
    <w:rsid w:val="00B11DA7"/>
    <w:rsid w:val="00B20377"/>
    <w:rsid w:val="00B20D24"/>
    <w:rsid w:val="00B2155A"/>
    <w:rsid w:val="00B23945"/>
    <w:rsid w:val="00B24220"/>
    <w:rsid w:val="00B2547B"/>
    <w:rsid w:val="00B276AF"/>
    <w:rsid w:val="00B34D0D"/>
    <w:rsid w:val="00B376E2"/>
    <w:rsid w:val="00B42C16"/>
    <w:rsid w:val="00B42EF4"/>
    <w:rsid w:val="00B434B3"/>
    <w:rsid w:val="00B43B94"/>
    <w:rsid w:val="00B43BB1"/>
    <w:rsid w:val="00B5096F"/>
    <w:rsid w:val="00B51F5E"/>
    <w:rsid w:val="00B560F9"/>
    <w:rsid w:val="00B61DF9"/>
    <w:rsid w:val="00B61FAB"/>
    <w:rsid w:val="00B620C1"/>
    <w:rsid w:val="00B623DF"/>
    <w:rsid w:val="00B63493"/>
    <w:rsid w:val="00B635DB"/>
    <w:rsid w:val="00B63813"/>
    <w:rsid w:val="00B64C20"/>
    <w:rsid w:val="00B67F21"/>
    <w:rsid w:val="00B70717"/>
    <w:rsid w:val="00B70ED3"/>
    <w:rsid w:val="00B7446A"/>
    <w:rsid w:val="00B749CE"/>
    <w:rsid w:val="00B75E87"/>
    <w:rsid w:val="00B76EE3"/>
    <w:rsid w:val="00B84CB9"/>
    <w:rsid w:val="00B95ADF"/>
    <w:rsid w:val="00B96ACE"/>
    <w:rsid w:val="00BA2668"/>
    <w:rsid w:val="00BA4808"/>
    <w:rsid w:val="00BA49EB"/>
    <w:rsid w:val="00BA5C61"/>
    <w:rsid w:val="00BB103D"/>
    <w:rsid w:val="00BB24CC"/>
    <w:rsid w:val="00BB3713"/>
    <w:rsid w:val="00BB5AC2"/>
    <w:rsid w:val="00BB5ACE"/>
    <w:rsid w:val="00BC0B48"/>
    <w:rsid w:val="00BC2713"/>
    <w:rsid w:val="00BC3EAB"/>
    <w:rsid w:val="00BC64B6"/>
    <w:rsid w:val="00BC66EC"/>
    <w:rsid w:val="00BC6C3D"/>
    <w:rsid w:val="00BD1105"/>
    <w:rsid w:val="00BD2081"/>
    <w:rsid w:val="00BD2A30"/>
    <w:rsid w:val="00BD2A36"/>
    <w:rsid w:val="00BD2AA5"/>
    <w:rsid w:val="00BD47C6"/>
    <w:rsid w:val="00BD6F75"/>
    <w:rsid w:val="00BE4104"/>
    <w:rsid w:val="00BE5B13"/>
    <w:rsid w:val="00BE6307"/>
    <w:rsid w:val="00BF1D60"/>
    <w:rsid w:val="00BF51AD"/>
    <w:rsid w:val="00BF6F2A"/>
    <w:rsid w:val="00C0710A"/>
    <w:rsid w:val="00C10376"/>
    <w:rsid w:val="00C1101B"/>
    <w:rsid w:val="00C16F03"/>
    <w:rsid w:val="00C17FF7"/>
    <w:rsid w:val="00C246C9"/>
    <w:rsid w:val="00C265C4"/>
    <w:rsid w:val="00C27C4D"/>
    <w:rsid w:val="00C3109E"/>
    <w:rsid w:val="00C33F27"/>
    <w:rsid w:val="00C40A21"/>
    <w:rsid w:val="00C42AE5"/>
    <w:rsid w:val="00C44113"/>
    <w:rsid w:val="00C4510C"/>
    <w:rsid w:val="00C45D27"/>
    <w:rsid w:val="00C46B07"/>
    <w:rsid w:val="00C51BE8"/>
    <w:rsid w:val="00C53795"/>
    <w:rsid w:val="00C53BA6"/>
    <w:rsid w:val="00C54289"/>
    <w:rsid w:val="00C55341"/>
    <w:rsid w:val="00C57247"/>
    <w:rsid w:val="00C5774F"/>
    <w:rsid w:val="00C602BF"/>
    <w:rsid w:val="00C61BFB"/>
    <w:rsid w:val="00C627A4"/>
    <w:rsid w:val="00C63CD4"/>
    <w:rsid w:val="00C643DE"/>
    <w:rsid w:val="00C65185"/>
    <w:rsid w:val="00C658FB"/>
    <w:rsid w:val="00C70ADC"/>
    <w:rsid w:val="00C77339"/>
    <w:rsid w:val="00C776B8"/>
    <w:rsid w:val="00C845DA"/>
    <w:rsid w:val="00C86279"/>
    <w:rsid w:val="00C91FFE"/>
    <w:rsid w:val="00C945DF"/>
    <w:rsid w:val="00C956BE"/>
    <w:rsid w:val="00CA454C"/>
    <w:rsid w:val="00CA4CD8"/>
    <w:rsid w:val="00CB3F85"/>
    <w:rsid w:val="00CB60A7"/>
    <w:rsid w:val="00CC2D7F"/>
    <w:rsid w:val="00CC35C3"/>
    <w:rsid w:val="00CC4E1F"/>
    <w:rsid w:val="00CC76B4"/>
    <w:rsid w:val="00CC7A85"/>
    <w:rsid w:val="00CC7AC2"/>
    <w:rsid w:val="00CD3042"/>
    <w:rsid w:val="00CD3226"/>
    <w:rsid w:val="00CD4169"/>
    <w:rsid w:val="00CD4D51"/>
    <w:rsid w:val="00CD59B2"/>
    <w:rsid w:val="00CE081D"/>
    <w:rsid w:val="00CE0A71"/>
    <w:rsid w:val="00CE18DF"/>
    <w:rsid w:val="00CE23FE"/>
    <w:rsid w:val="00CF5DF9"/>
    <w:rsid w:val="00CF6087"/>
    <w:rsid w:val="00CF7113"/>
    <w:rsid w:val="00CF759C"/>
    <w:rsid w:val="00D04B41"/>
    <w:rsid w:val="00D06447"/>
    <w:rsid w:val="00D07123"/>
    <w:rsid w:val="00D11A5C"/>
    <w:rsid w:val="00D1311A"/>
    <w:rsid w:val="00D14326"/>
    <w:rsid w:val="00D162EE"/>
    <w:rsid w:val="00D2594E"/>
    <w:rsid w:val="00D2617B"/>
    <w:rsid w:val="00D27363"/>
    <w:rsid w:val="00D276AD"/>
    <w:rsid w:val="00D30893"/>
    <w:rsid w:val="00D312E2"/>
    <w:rsid w:val="00D33832"/>
    <w:rsid w:val="00D36DC6"/>
    <w:rsid w:val="00D40201"/>
    <w:rsid w:val="00D4063A"/>
    <w:rsid w:val="00D4154D"/>
    <w:rsid w:val="00D43209"/>
    <w:rsid w:val="00D433EF"/>
    <w:rsid w:val="00D43DBB"/>
    <w:rsid w:val="00D53694"/>
    <w:rsid w:val="00D54E0D"/>
    <w:rsid w:val="00D578A7"/>
    <w:rsid w:val="00D6165F"/>
    <w:rsid w:val="00D621BF"/>
    <w:rsid w:val="00D6461E"/>
    <w:rsid w:val="00D65088"/>
    <w:rsid w:val="00D65A1B"/>
    <w:rsid w:val="00D662B8"/>
    <w:rsid w:val="00D701B0"/>
    <w:rsid w:val="00D71BA4"/>
    <w:rsid w:val="00D736A1"/>
    <w:rsid w:val="00D75E02"/>
    <w:rsid w:val="00D76415"/>
    <w:rsid w:val="00D76B08"/>
    <w:rsid w:val="00D76D7B"/>
    <w:rsid w:val="00D77B96"/>
    <w:rsid w:val="00D82736"/>
    <w:rsid w:val="00D864D3"/>
    <w:rsid w:val="00D87798"/>
    <w:rsid w:val="00D91DEA"/>
    <w:rsid w:val="00D95B78"/>
    <w:rsid w:val="00D973C4"/>
    <w:rsid w:val="00DA0584"/>
    <w:rsid w:val="00DA273A"/>
    <w:rsid w:val="00DA292D"/>
    <w:rsid w:val="00DA316D"/>
    <w:rsid w:val="00DA4658"/>
    <w:rsid w:val="00DA4742"/>
    <w:rsid w:val="00DB3500"/>
    <w:rsid w:val="00DB53BB"/>
    <w:rsid w:val="00DB63BB"/>
    <w:rsid w:val="00DB7831"/>
    <w:rsid w:val="00DB7E95"/>
    <w:rsid w:val="00DC0ED1"/>
    <w:rsid w:val="00DC1406"/>
    <w:rsid w:val="00DC1FF2"/>
    <w:rsid w:val="00DC263D"/>
    <w:rsid w:val="00DC407A"/>
    <w:rsid w:val="00DC4E26"/>
    <w:rsid w:val="00DC6005"/>
    <w:rsid w:val="00DC7A97"/>
    <w:rsid w:val="00DD0612"/>
    <w:rsid w:val="00DD1474"/>
    <w:rsid w:val="00DD1817"/>
    <w:rsid w:val="00DD41A8"/>
    <w:rsid w:val="00DD4923"/>
    <w:rsid w:val="00DD4FD9"/>
    <w:rsid w:val="00DD7AFC"/>
    <w:rsid w:val="00DE010D"/>
    <w:rsid w:val="00DE193A"/>
    <w:rsid w:val="00DE3A4F"/>
    <w:rsid w:val="00DE6200"/>
    <w:rsid w:val="00DE67E1"/>
    <w:rsid w:val="00DF3E93"/>
    <w:rsid w:val="00DF4727"/>
    <w:rsid w:val="00DF4FF4"/>
    <w:rsid w:val="00E00479"/>
    <w:rsid w:val="00E00CC4"/>
    <w:rsid w:val="00E0160F"/>
    <w:rsid w:val="00E01A4E"/>
    <w:rsid w:val="00E03755"/>
    <w:rsid w:val="00E046D4"/>
    <w:rsid w:val="00E04EC1"/>
    <w:rsid w:val="00E061AA"/>
    <w:rsid w:val="00E07866"/>
    <w:rsid w:val="00E11D1D"/>
    <w:rsid w:val="00E12D78"/>
    <w:rsid w:val="00E16BEA"/>
    <w:rsid w:val="00E20F0C"/>
    <w:rsid w:val="00E222DB"/>
    <w:rsid w:val="00E22B09"/>
    <w:rsid w:val="00E2354C"/>
    <w:rsid w:val="00E23DF6"/>
    <w:rsid w:val="00E25D1C"/>
    <w:rsid w:val="00E326EE"/>
    <w:rsid w:val="00E3323C"/>
    <w:rsid w:val="00E36042"/>
    <w:rsid w:val="00E40F0A"/>
    <w:rsid w:val="00E43A08"/>
    <w:rsid w:val="00E43FF9"/>
    <w:rsid w:val="00E444D2"/>
    <w:rsid w:val="00E44ECF"/>
    <w:rsid w:val="00E4573E"/>
    <w:rsid w:val="00E46B65"/>
    <w:rsid w:val="00E473BE"/>
    <w:rsid w:val="00E5187A"/>
    <w:rsid w:val="00E61E7D"/>
    <w:rsid w:val="00E64F54"/>
    <w:rsid w:val="00E6693F"/>
    <w:rsid w:val="00E6736B"/>
    <w:rsid w:val="00E67622"/>
    <w:rsid w:val="00E70562"/>
    <w:rsid w:val="00E70B31"/>
    <w:rsid w:val="00E73BA9"/>
    <w:rsid w:val="00E75D8D"/>
    <w:rsid w:val="00E768AC"/>
    <w:rsid w:val="00E8357C"/>
    <w:rsid w:val="00E83AEB"/>
    <w:rsid w:val="00E901DF"/>
    <w:rsid w:val="00E91028"/>
    <w:rsid w:val="00EA340F"/>
    <w:rsid w:val="00EA3F53"/>
    <w:rsid w:val="00EA44B2"/>
    <w:rsid w:val="00EA5350"/>
    <w:rsid w:val="00EA6CD0"/>
    <w:rsid w:val="00EA6D48"/>
    <w:rsid w:val="00EA6E37"/>
    <w:rsid w:val="00EB0025"/>
    <w:rsid w:val="00EB2B6F"/>
    <w:rsid w:val="00EB3287"/>
    <w:rsid w:val="00EB44EC"/>
    <w:rsid w:val="00EB513A"/>
    <w:rsid w:val="00EB667D"/>
    <w:rsid w:val="00EB74CE"/>
    <w:rsid w:val="00EB7579"/>
    <w:rsid w:val="00EC1A9F"/>
    <w:rsid w:val="00EC5058"/>
    <w:rsid w:val="00EC50C8"/>
    <w:rsid w:val="00EC7A11"/>
    <w:rsid w:val="00ED0BF6"/>
    <w:rsid w:val="00ED2B61"/>
    <w:rsid w:val="00ED4393"/>
    <w:rsid w:val="00ED5F90"/>
    <w:rsid w:val="00ED6C5F"/>
    <w:rsid w:val="00ED7454"/>
    <w:rsid w:val="00EE133D"/>
    <w:rsid w:val="00EE2001"/>
    <w:rsid w:val="00EF09C7"/>
    <w:rsid w:val="00EF0E66"/>
    <w:rsid w:val="00EF271F"/>
    <w:rsid w:val="00EF6B43"/>
    <w:rsid w:val="00EF71C5"/>
    <w:rsid w:val="00EF776E"/>
    <w:rsid w:val="00F00935"/>
    <w:rsid w:val="00F0247E"/>
    <w:rsid w:val="00F042DD"/>
    <w:rsid w:val="00F047FE"/>
    <w:rsid w:val="00F06255"/>
    <w:rsid w:val="00F06C77"/>
    <w:rsid w:val="00F104D3"/>
    <w:rsid w:val="00F12FEC"/>
    <w:rsid w:val="00F145EF"/>
    <w:rsid w:val="00F1571A"/>
    <w:rsid w:val="00F211E1"/>
    <w:rsid w:val="00F26017"/>
    <w:rsid w:val="00F26B48"/>
    <w:rsid w:val="00F27730"/>
    <w:rsid w:val="00F32D1F"/>
    <w:rsid w:val="00F332A7"/>
    <w:rsid w:val="00F33E1C"/>
    <w:rsid w:val="00F33EE1"/>
    <w:rsid w:val="00F3551C"/>
    <w:rsid w:val="00F35588"/>
    <w:rsid w:val="00F37784"/>
    <w:rsid w:val="00F4194D"/>
    <w:rsid w:val="00F43625"/>
    <w:rsid w:val="00F46953"/>
    <w:rsid w:val="00F4778F"/>
    <w:rsid w:val="00F55FD7"/>
    <w:rsid w:val="00F57884"/>
    <w:rsid w:val="00F61924"/>
    <w:rsid w:val="00F6481C"/>
    <w:rsid w:val="00F666B0"/>
    <w:rsid w:val="00F6689E"/>
    <w:rsid w:val="00F708B0"/>
    <w:rsid w:val="00F72509"/>
    <w:rsid w:val="00F777FE"/>
    <w:rsid w:val="00F84C51"/>
    <w:rsid w:val="00F9150D"/>
    <w:rsid w:val="00FA07C6"/>
    <w:rsid w:val="00FA0D01"/>
    <w:rsid w:val="00FA2616"/>
    <w:rsid w:val="00FA345F"/>
    <w:rsid w:val="00FB1666"/>
    <w:rsid w:val="00FB6427"/>
    <w:rsid w:val="00FB6D32"/>
    <w:rsid w:val="00FC5609"/>
    <w:rsid w:val="00FC582E"/>
    <w:rsid w:val="00FD25A9"/>
    <w:rsid w:val="00FD298F"/>
    <w:rsid w:val="00FD366F"/>
    <w:rsid w:val="00FE0195"/>
    <w:rsid w:val="00FE281D"/>
    <w:rsid w:val="00FE2E9F"/>
    <w:rsid w:val="00FE70F4"/>
    <w:rsid w:val="00FE7478"/>
    <w:rsid w:val="00FF1250"/>
    <w:rsid w:val="00FF1700"/>
    <w:rsid w:val="00FF1BD3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basedOn w:val="a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5">
    <w:name w:val="header"/>
    <w:basedOn w:val="a"/>
    <w:link w:val="a6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6105B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6105B4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nhideWhenUsed/>
    <w:qFormat/>
    <w:rsid w:val="00C63CD4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qFormat/>
    <w:rsid w:val="00C63CD4"/>
  </w:style>
  <w:style w:type="character" w:customStyle="1" w:styleId="ad">
    <w:name w:val="註解文字 字元"/>
    <w:basedOn w:val="a0"/>
    <w:link w:val="ac"/>
    <w:uiPriority w:val="99"/>
    <w:qFormat/>
    <w:rsid w:val="00C63CD4"/>
  </w:style>
  <w:style w:type="paragraph" w:styleId="ae">
    <w:name w:val="annotation subject"/>
    <w:basedOn w:val="ac"/>
    <w:next w:val="ac"/>
    <w:link w:val="af"/>
    <w:uiPriority w:val="99"/>
    <w:semiHidden/>
    <w:unhideWhenUsed/>
    <w:rsid w:val="00C63CD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0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141497"/>
    <w:pPr>
      <w:widowControl/>
      <w:numPr>
        <w:numId w:val="1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1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18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customStyle="1" w:styleId="Prop">
    <w:name w:val="Prop"/>
    <w:basedOn w:val="a"/>
    <w:qFormat/>
    <w:rsid w:val="009E2E20"/>
    <w:pPr>
      <w:widowControl/>
      <w:numPr>
        <w:numId w:val="22"/>
      </w:numPr>
      <w:tabs>
        <w:tab w:val="left" w:pos="1170"/>
      </w:tabs>
      <w:overflowPunct w:val="0"/>
      <w:autoSpaceDE w:val="0"/>
      <w:autoSpaceDN w:val="0"/>
      <w:adjustRightInd w:val="0"/>
      <w:spacing w:after="120"/>
      <w:ind w:left="1170" w:hanging="1170"/>
      <w:jc w:val="both"/>
      <w:textAlignment w:val="baseline"/>
    </w:pPr>
    <w:rPr>
      <w:rFonts w:ascii="Times New Roman" w:eastAsia="SimSun" w:hAnsi="Times New Roman" w:cs="Times New Roman"/>
      <w:b/>
      <w:kern w:val="0"/>
      <w:sz w:val="20"/>
      <w:szCs w:val="20"/>
      <w:lang w:eastAsia="zh-CN"/>
    </w:rPr>
  </w:style>
  <w:style w:type="paragraph" w:customStyle="1" w:styleId="B4">
    <w:name w:val="B4"/>
    <w:basedOn w:val="41"/>
    <w:link w:val="B4Char"/>
    <w:qFormat/>
    <w:rsid w:val="00781810"/>
    <w:pPr>
      <w:widowControl/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4Char">
    <w:name w:val="B4 Char"/>
    <w:link w:val="B4"/>
    <w:qFormat/>
    <w:rsid w:val="00781810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41">
    <w:name w:val="List 4"/>
    <w:basedOn w:val="a"/>
    <w:uiPriority w:val="99"/>
    <w:semiHidden/>
    <w:unhideWhenUsed/>
    <w:rsid w:val="00781810"/>
    <w:pPr>
      <w:ind w:leftChars="8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121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72F5BE-3B0A-453E-A968-3BC6DFD93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1293</Words>
  <Characters>7374</Characters>
  <Application>Microsoft Office Word</Application>
  <DocSecurity>0</DocSecurity>
  <Lines>61</Lines>
  <Paragraphs>17</Paragraphs>
  <ScaleCrop>false</ScaleCrop>
  <Company/>
  <LinksUpToDate>false</LinksUpToDate>
  <CharactersWithSpaces>8650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ASUSTeK (Lider)</cp:lastModifiedBy>
  <cp:revision>2</cp:revision>
  <dcterms:created xsi:type="dcterms:W3CDTF">2022-08-10T02:18:00Z</dcterms:created>
  <dcterms:modified xsi:type="dcterms:W3CDTF">2022-08-10T02:18:00Z</dcterms:modified>
</cp:coreProperties>
</file>